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B3" w:rsidRPr="003C1B4D" w:rsidRDefault="00C318B3" w:rsidP="001159F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uk-UA"/>
        </w:rPr>
      </w:pPr>
      <w:r w:rsidRPr="003C1B4D">
        <w:rPr>
          <w:rFonts w:ascii="Times New Roman" w:hAnsi="Times New Roman"/>
          <w:sz w:val="24"/>
          <w:szCs w:val="24"/>
          <w:lang w:eastAsia="uk-UA"/>
        </w:rPr>
        <w:t>Додаток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43714" w:rsidRPr="00EF2AD6">
        <w:rPr>
          <w:rFonts w:ascii="Times New Roman" w:hAnsi="Times New Roman"/>
          <w:sz w:val="24"/>
          <w:szCs w:val="24"/>
          <w:lang w:eastAsia="uk-UA"/>
        </w:rPr>
        <w:t>4</w:t>
      </w:r>
    </w:p>
    <w:p w:rsidR="00C318B3" w:rsidRPr="003C1B4D" w:rsidRDefault="00C318B3" w:rsidP="00E05DB6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uk-UA"/>
        </w:rPr>
      </w:pPr>
      <w:r w:rsidRPr="003C1B4D">
        <w:rPr>
          <w:rFonts w:ascii="Times New Roman" w:hAnsi="Times New Roman"/>
          <w:sz w:val="24"/>
          <w:szCs w:val="24"/>
          <w:lang w:eastAsia="uk-UA"/>
        </w:rPr>
        <w:t>до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Порядку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контролю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за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дотриманням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05DB6">
        <w:rPr>
          <w:rFonts w:ascii="Times New Roman" w:hAnsi="Times New Roman"/>
          <w:sz w:val="24"/>
          <w:szCs w:val="24"/>
          <w:lang w:eastAsia="uk-UA"/>
        </w:rPr>
        <w:br/>
      </w:r>
      <w:r w:rsidRPr="003C1B4D">
        <w:rPr>
          <w:rFonts w:ascii="Times New Roman" w:hAnsi="Times New Roman"/>
          <w:sz w:val="24"/>
          <w:szCs w:val="24"/>
          <w:lang w:eastAsia="uk-UA"/>
        </w:rPr>
        <w:t>ліцензіатами,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що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провадять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діяльність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05DB6">
        <w:rPr>
          <w:rFonts w:ascii="Times New Roman" w:hAnsi="Times New Roman"/>
          <w:sz w:val="24"/>
          <w:szCs w:val="24"/>
          <w:lang w:eastAsia="uk-UA"/>
        </w:rPr>
        <w:br/>
      </w:r>
      <w:r w:rsidRPr="003C1B4D">
        <w:rPr>
          <w:rFonts w:ascii="Times New Roman" w:hAnsi="Times New Roman"/>
          <w:sz w:val="24"/>
          <w:szCs w:val="24"/>
          <w:lang w:eastAsia="uk-UA"/>
        </w:rPr>
        <w:t>у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сферах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енергетики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та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комунальних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05DB6">
        <w:rPr>
          <w:rFonts w:ascii="Times New Roman" w:hAnsi="Times New Roman"/>
          <w:sz w:val="24"/>
          <w:szCs w:val="24"/>
          <w:lang w:eastAsia="uk-UA"/>
        </w:rPr>
        <w:br/>
      </w:r>
      <w:r w:rsidRPr="003C1B4D">
        <w:rPr>
          <w:rFonts w:ascii="Times New Roman" w:hAnsi="Times New Roman"/>
          <w:sz w:val="24"/>
          <w:szCs w:val="24"/>
          <w:lang w:eastAsia="uk-UA"/>
        </w:rPr>
        <w:t>послуг,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законодавства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у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відповідних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E05DB6">
        <w:rPr>
          <w:rFonts w:ascii="Times New Roman" w:hAnsi="Times New Roman"/>
          <w:sz w:val="24"/>
          <w:szCs w:val="24"/>
          <w:lang w:eastAsia="uk-UA"/>
        </w:rPr>
        <w:br/>
      </w:r>
      <w:r w:rsidRPr="003C1B4D">
        <w:rPr>
          <w:rFonts w:ascii="Times New Roman" w:hAnsi="Times New Roman"/>
          <w:sz w:val="24"/>
          <w:szCs w:val="24"/>
          <w:lang w:eastAsia="uk-UA"/>
        </w:rPr>
        <w:t>сферах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та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ліцензійних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умов</w:t>
      </w:r>
    </w:p>
    <w:p w:rsidR="00C318B3" w:rsidRPr="003C1B4D" w:rsidRDefault="00C318B3" w:rsidP="001159FE">
      <w:pPr>
        <w:spacing w:after="0" w:line="240" w:lineRule="auto"/>
        <w:ind w:left="5670" w:right="-28"/>
        <w:rPr>
          <w:rFonts w:ascii="Times New Roman" w:hAnsi="Times New Roman"/>
          <w:b/>
          <w:sz w:val="24"/>
          <w:szCs w:val="24"/>
          <w:lang w:eastAsia="ru-RU"/>
        </w:rPr>
      </w:pPr>
      <w:r w:rsidRPr="003C1B4D">
        <w:rPr>
          <w:rFonts w:ascii="Times New Roman" w:hAnsi="Times New Roman"/>
          <w:sz w:val="24"/>
          <w:szCs w:val="24"/>
          <w:lang w:eastAsia="uk-UA"/>
        </w:rPr>
        <w:t>(пункти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3.7,</w:t>
      </w:r>
      <w:r w:rsidR="00FA671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3C1B4D">
        <w:rPr>
          <w:rFonts w:ascii="Times New Roman" w:hAnsi="Times New Roman"/>
          <w:sz w:val="24"/>
          <w:szCs w:val="24"/>
          <w:lang w:eastAsia="uk-UA"/>
        </w:rPr>
        <w:t>7.1)</w:t>
      </w:r>
    </w:p>
    <w:p w:rsidR="00C318B3" w:rsidRPr="003C1B4D" w:rsidRDefault="00C318B3" w:rsidP="001159FE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318B3" w:rsidRPr="003C1B4D" w:rsidRDefault="00C318B3" w:rsidP="007E130F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1B4D">
        <w:rPr>
          <w:rFonts w:ascii="Times New Roman" w:hAnsi="Times New Roman"/>
          <w:b/>
          <w:sz w:val="24"/>
          <w:szCs w:val="24"/>
          <w:lang w:eastAsia="ru-RU"/>
        </w:rPr>
        <w:t>ПЕРЕЛІК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ПИТАНЬ</w:t>
      </w:r>
    </w:p>
    <w:p w:rsidR="00C318B3" w:rsidRPr="003C1B4D" w:rsidRDefault="00C318B3" w:rsidP="007E130F">
      <w:pPr>
        <w:spacing w:after="0" w:line="240" w:lineRule="auto"/>
        <w:ind w:left="-28" w:right="-2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C1B4D">
        <w:rPr>
          <w:rFonts w:ascii="Times New Roman" w:hAnsi="Times New Roman"/>
          <w:b/>
          <w:sz w:val="24"/>
          <w:szCs w:val="24"/>
          <w:lang w:eastAsia="ru-RU"/>
        </w:rPr>
        <w:t>для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перевірки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дотримання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вимог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законодавства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та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ліцензійних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умов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провадження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господарської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діяльності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зі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здійснення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функції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гарантованого</w:t>
      </w:r>
      <w:r w:rsidR="00FA67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C1B4D">
        <w:rPr>
          <w:rFonts w:ascii="Times New Roman" w:hAnsi="Times New Roman"/>
          <w:b/>
          <w:sz w:val="24"/>
          <w:szCs w:val="24"/>
          <w:lang w:eastAsia="ru-RU"/>
        </w:rPr>
        <w:t>покупця</w:t>
      </w:r>
    </w:p>
    <w:p w:rsidR="00C318B3" w:rsidRPr="003C1B4D" w:rsidRDefault="00C318B3" w:rsidP="00115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563"/>
        <w:gridCol w:w="3266"/>
        <w:gridCol w:w="1887"/>
        <w:gridCol w:w="551"/>
        <w:gridCol w:w="551"/>
        <w:gridCol w:w="551"/>
        <w:gridCol w:w="2259"/>
      </w:tblGrid>
      <w:tr w:rsidR="00C318B3" w:rsidRPr="00EC5118" w:rsidTr="00EC5118">
        <w:trPr>
          <w:trHeight w:val="20"/>
          <w:jc w:val="center"/>
        </w:trPr>
        <w:tc>
          <w:tcPr>
            <w:tcW w:w="563" w:type="dxa"/>
            <w:vMerge w:val="restart"/>
            <w:vAlign w:val="center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  <w:r w:rsidRPr="00EC5118">
              <w:rPr>
                <w:rFonts w:ascii="Times New Roman" w:hAnsi="Times New Roman"/>
                <w:lang w:eastAsia="uk-UA"/>
              </w:rPr>
              <w:t>№</w:t>
            </w:r>
            <w:r w:rsidR="00FA671F">
              <w:rPr>
                <w:rFonts w:ascii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з/п</w:t>
            </w:r>
          </w:p>
        </w:tc>
        <w:tc>
          <w:tcPr>
            <w:tcW w:w="3266" w:type="dxa"/>
            <w:vMerge w:val="restart"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EC5118">
              <w:rPr>
                <w:rFonts w:ascii="Times New Roman" w:hAnsi="Times New Roman"/>
                <w:bCs/>
                <w:lang w:eastAsia="uk-UA"/>
              </w:rPr>
              <w:t>Питання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щодо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дотримання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="00766ED8" w:rsidRPr="00EC5118">
              <w:rPr>
                <w:rFonts w:ascii="Times New Roman" w:hAnsi="Times New Roman"/>
                <w:bCs/>
                <w:lang w:eastAsia="uk-UA"/>
              </w:rPr>
              <w:t>суб</w:t>
            </w:r>
            <w:r w:rsidR="00766ED8">
              <w:rPr>
                <w:rFonts w:ascii="Times New Roman" w:hAnsi="Times New Roman"/>
                <w:bCs/>
                <w:lang w:eastAsia="uk-UA"/>
              </w:rPr>
              <w:t>’єктом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господарювання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вимог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законодавства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України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та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ліцензійних</w:t>
            </w:r>
            <w:r w:rsidR="00FA671F">
              <w:rPr>
                <w:rFonts w:ascii="Times New Roman" w:hAnsi="Times New Roman"/>
                <w:bCs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lang w:eastAsia="uk-UA"/>
              </w:rPr>
              <w:t>умов</w:t>
            </w:r>
          </w:p>
        </w:tc>
        <w:tc>
          <w:tcPr>
            <w:tcW w:w="1887" w:type="dxa"/>
            <w:vMerge w:val="restart"/>
            <w:vAlign w:val="center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uk-UA"/>
              </w:rPr>
              <w:t>Позиція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суб’єкта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господарювання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щодо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негативного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впливу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вимоги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законодавства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(від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1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4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балів)*</w:t>
            </w:r>
          </w:p>
        </w:tc>
        <w:tc>
          <w:tcPr>
            <w:tcW w:w="1653" w:type="dxa"/>
            <w:gridSpan w:val="3"/>
            <w:vAlign w:val="center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uk-UA"/>
              </w:rPr>
              <w:t>Відповіді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питання</w:t>
            </w:r>
          </w:p>
        </w:tc>
        <w:tc>
          <w:tcPr>
            <w:tcW w:w="2259" w:type="dxa"/>
            <w:vMerge w:val="restart"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Нормативне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обґрунтування</w:t>
            </w:r>
          </w:p>
        </w:tc>
      </w:tr>
      <w:tr w:rsidR="00C318B3" w:rsidRPr="00EC5118" w:rsidTr="00EC5118">
        <w:trPr>
          <w:cantSplit/>
          <w:trHeight w:val="20"/>
          <w:jc w:val="center"/>
        </w:trPr>
        <w:tc>
          <w:tcPr>
            <w:tcW w:w="563" w:type="dxa"/>
            <w:vMerge/>
            <w:vAlign w:val="center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266" w:type="dxa"/>
            <w:vMerge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</w:p>
        </w:tc>
        <w:tc>
          <w:tcPr>
            <w:tcW w:w="1887" w:type="dxa"/>
            <w:vMerge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uk-UA"/>
              </w:rPr>
              <w:t>так</w:t>
            </w:r>
          </w:p>
        </w:tc>
        <w:tc>
          <w:tcPr>
            <w:tcW w:w="551" w:type="dxa"/>
            <w:textDirection w:val="btLr"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uk-UA"/>
              </w:rPr>
              <w:t>ні</w:t>
            </w:r>
          </w:p>
        </w:tc>
        <w:tc>
          <w:tcPr>
            <w:tcW w:w="551" w:type="dxa"/>
            <w:textDirection w:val="btLr"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uk-UA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uk-UA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uk-UA"/>
              </w:rPr>
              <w:t>розглядалося</w:t>
            </w:r>
          </w:p>
        </w:tc>
        <w:tc>
          <w:tcPr>
            <w:tcW w:w="2259" w:type="dxa"/>
            <w:vMerge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9628" w:type="dxa"/>
            <w:gridSpan w:val="7"/>
            <w:vAlign w:val="center"/>
          </w:tcPr>
          <w:p w:rsidR="00C318B3" w:rsidRPr="00EC5118" w:rsidRDefault="00C318B3" w:rsidP="00EC5118">
            <w:pPr>
              <w:pStyle w:val="1"/>
              <w:keepNext/>
              <w:spacing w:after="0" w:line="240" w:lineRule="auto"/>
              <w:ind w:left="360" w:right="-85"/>
              <w:jc w:val="center"/>
              <w:rPr>
                <w:rFonts w:ascii="Times New Roman" w:hAnsi="Times New Roman"/>
                <w:bCs/>
                <w:spacing w:val="-4"/>
                <w:szCs w:val="20"/>
                <w:lang w:eastAsia="uk-UA"/>
              </w:rPr>
            </w:pPr>
            <w:r w:rsidRPr="00EC5118">
              <w:rPr>
                <w:rFonts w:ascii="Times New Roman" w:hAnsi="Times New Roman"/>
                <w:bCs/>
                <w:spacing w:val="-4"/>
                <w:szCs w:val="20"/>
                <w:lang w:eastAsia="uk-UA"/>
              </w:rPr>
              <w:t>1.</w:t>
            </w:r>
            <w:r w:rsidR="00FA671F">
              <w:rPr>
                <w:rFonts w:ascii="Times New Roman" w:hAnsi="Times New Roman"/>
                <w:bCs/>
                <w:spacing w:val="-4"/>
                <w:szCs w:val="20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szCs w:val="20"/>
                <w:lang w:eastAsia="uk-UA"/>
              </w:rPr>
              <w:t>Загальні</w:t>
            </w:r>
            <w:r w:rsidR="00FA671F">
              <w:rPr>
                <w:rFonts w:ascii="Times New Roman" w:hAnsi="Times New Roman"/>
                <w:bCs/>
                <w:spacing w:val="-4"/>
                <w:szCs w:val="20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szCs w:val="20"/>
                <w:lang w:eastAsia="uk-UA"/>
              </w:rPr>
              <w:t>вимоги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1.1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Присутність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керівника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ліцензіата,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його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заступника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іншої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уповноваженої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особи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час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проведення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установленому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порядку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перевірки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ліцензійних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умов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забезпечено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5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Ліцензійних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умов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провадження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господарської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діяльності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здійснення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функцій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гарантованого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покупця,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затверджених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постановою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Національної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комісії,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що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здійснює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державне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регулювання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сферах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енергетики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комунальних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послуг</w:t>
            </w:r>
            <w:r w:rsidR="00766ED8">
              <w:rPr>
                <w:rFonts w:ascii="Times New Roman" w:hAnsi="Times New Roman"/>
                <w:spacing w:val="-4"/>
                <w:lang w:eastAsia="ru-RU"/>
              </w:rPr>
              <w:t>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від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грудня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2017</w:t>
            </w:r>
            <w:r w:rsidR="00C53D51">
              <w:rPr>
                <w:rFonts w:ascii="Times New Roman" w:hAnsi="Times New Roman"/>
                <w:spacing w:val="-4"/>
                <w:lang w:eastAsia="ru-RU"/>
              </w:rPr>
              <w:t> 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року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(далі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–</w:t>
            </w:r>
            <w:r w:rsidR="00C53D51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1471)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1.2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Фактичні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дані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відповідають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даним,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були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зазначені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додавалися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заяви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відомостям,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зазначеним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16D9">
              <w:rPr>
                <w:rFonts w:ascii="Times New Roman" w:eastAsia="Times New Roman" w:hAnsi="Times New Roman"/>
                <w:lang w:eastAsia="ru-RU"/>
              </w:rPr>
              <w:t xml:space="preserve">у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Єдиному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державному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реєстрі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юридичних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осіб,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фізичних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осіб-підприємців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громадських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формувань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766ED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1.4,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1.5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1.3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зберігає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протягом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документи,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копії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подавалися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lastRenderedPageBreak/>
              <w:t>відповідно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8AA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іцензійних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умов,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передає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ліцензію,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отриману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певного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виду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будь-які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66ED8">
              <w:rPr>
                <w:rFonts w:ascii="Times New Roman" w:eastAsia="Times New Roman" w:hAnsi="Times New Roman"/>
                <w:lang w:eastAsia="ru-RU"/>
              </w:rPr>
              <w:t>обов’язки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третім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особам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766ED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766ED8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11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EC5118">
              <w:rPr>
                <w:rFonts w:ascii="Times New Roman" w:hAnsi="Times New Roman"/>
                <w:szCs w:val="20"/>
                <w:lang w:eastAsia="uk-UA"/>
              </w:rPr>
              <w:lastRenderedPageBreak/>
              <w:t>1.4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повідомляє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зміни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даних,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були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зазначені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додавалися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заяви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строк,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встановлений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ліцензійними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умовами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EC5118">
              <w:rPr>
                <w:rFonts w:ascii="Times New Roman" w:hAnsi="Times New Roman"/>
                <w:szCs w:val="20"/>
                <w:lang w:eastAsia="uk-UA"/>
              </w:rPr>
              <w:t>1.5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Документи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(їх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копії),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інформація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(дані,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відомості,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звітність),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необхідні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своїх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повноважень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функцій,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надаються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обсягах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строки,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</w:p>
        </w:tc>
        <w:tc>
          <w:tcPr>
            <w:tcW w:w="2259" w:type="dxa"/>
          </w:tcPr>
          <w:p w:rsidR="003254CE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пункт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1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частини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четвертої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статті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6,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третя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3254CE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Закону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України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«Про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ринок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електричної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енергії»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(далі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–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ЗУ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№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2019-VIII);</w:t>
            </w:r>
          </w:p>
          <w:p w:rsidR="00C53D51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пункти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3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і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4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частини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другої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статті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17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Закону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України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«Про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Національну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комісію,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що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здійснює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державне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регулювання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у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сферах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енергетики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та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комунальних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послуг»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(далі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bCs/>
                <w:spacing w:val="-4"/>
                <w:lang w:eastAsia="uk-UA"/>
              </w:rPr>
              <w:t>–</w:t>
            </w:r>
            <w:r w:rsidR="00FA671F">
              <w:rPr>
                <w:rFonts w:ascii="Times New Roman" w:hAnsi="Times New Roman"/>
                <w:bCs/>
                <w:spacing w:val="-4"/>
                <w:lang w:eastAsia="uk-UA"/>
              </w:rPr>
              <w:t xml:space="preserve"> 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1540-VIII);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7,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25,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35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1.</w:t>
            </w:r>
            <w:r w:rsidRPr="00EC5118">
              <w:rPr>
                <w:rFonts w:ascii="Times New Roman" w:hAnsi="Times New Roman"/>
                <w:szCs w:val="20"/>
                <w:lang w:eastAsia="uk-UA"/>
              </w:rPr>
              <w:t>6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рішення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строки,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встановлені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рішеннями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законодавством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53D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четвертої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2019-VIII;</w:t>
            </w:r>
          </w:p>
          <w:p w:rsidR="003254CE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="003254CE">
              <w:rPr>
                <w:rFonts w:ascii="Times New Roman" w:hAnsi="Times New Roman"/>
                <w:spacing w:val="-4"/>
                <w:lang w:eastAsia="ru-RU"/>
              </w:rPr>
              <w:t>дев’ята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53D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першої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другої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1540-VIII;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1.</w:t>
            </w:r>
            <w:r w:rsidRPr="00EC5118">
              <w:rPr>
                <w:rFonts w:ascii="Times New Roman" w:hAnsi="Times New Roman"/>
                <w:szCs w:val="20"/>
                <w:lang w:eastAsia="uk-UA"/>
              </w:rPr>
              <w:t>7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hAnsi="Times New Roman"/>
                <w:lang w:eastAsia="ru-RU"/>
              </w:rPr>
              <w:t>Внески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на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регулювання,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визначені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рішенням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НКРЕКП,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сплачуються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своєчасно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та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="0064323F">
              <w:rPr>
                <w:rFonts w:ascii="Times New Roman" w:hAnsi="Times New Roman"/>
                <w:lang w:eastAsia="ru-RU"/>
              </w:rPr>
              <w:t xml:space="preserve">в </w:t>
            </w:r>
            <w:r w:rsidRPr="00EC5118">
              <w:rPr>
                <w:rFonts w:ascii="Times New Roman" w:hAnsi="Times New Roman"/>
                <w:lang w:eastAsia="ru-RU"/>
              </w:rPr>
              <w:t>повному</w:t>
            </w:r>
            <w:r w:rsidR="00FA671F">
              <w:rPr>
                <w:rFonts w:ascii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lang w:eastAsia="ru-RU"/>
              </w:rPr>
              <w:t>обсязі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64323F" w:rsidRDefault="00C318B3" w:rsidP="0064323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64323F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1540-VIII;</w:t>
            </w:r>
          </w:p>
          <w:p w:rsidR="003254CE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Порядку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розрахунку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встановлення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ставки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внесків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на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регулювання,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затвердженого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lastRenderedPageBreak/>
              <w:t>постановою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Національної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комісії,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що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здійснює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державне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регулювання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сферах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енергетики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комунальних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послуг</w:t>
            </w:r>
            <w:r w:rsidR="003254CE">
              <w:rPr>
                <w:rFonts w:ascii="Times New Roman" w:hAnsi="Times New Roman"/>
                <w:spacing w:val="-4"/>
                <w:lang w:eastAsia="ru-RU"/>
              </w:rPr>
              <w:t>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від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06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квітня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2017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року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491;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1.</w:t>
            </w:r>
            <w:r w:rsidRPr="00EC5118">
              <w:rPr>
                <w:rFonts w:ascii="Times New Roman" w:hAnsi="Times New Roman"/>
                <w:szCs w:val="20"/>
                <w:lang w:eastAsia="uk-UA"/>
              </w:rPr>
              <w:t>8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забезпечено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власного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5118">
              <w:rPr>
                <w:rFonts w:ascii="Times New Roman" w:eastAsia="Times New Roman" w:hAnsi="Times New Roman"/>
                <w:lang w:eastAsia="ru-RU"/>
              </w:rPr>
              <w:t>вебсайту</w:t>
            </w:r>
            <w:proofErr w:type="spellEnd"/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мережі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Інтернет,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розміщено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актуальну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підлягає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оприлюдненню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чинного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законодавства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ліцензійних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умов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64323F" w:rsidRDefault="00C318B3" w:rsidP="0064323F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четвертої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30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64323F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2019-VIII;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третя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Закон</w:t>
            </w:r>
            <w:r w:rsidR="003254CE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України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«Про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бухгалтерський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облік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фінансову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звітність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в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Україні»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;</w:t>
            </w:r>
          </w:p>
          <w:p w:rsidR="0064323F" w:rsidRDefault="00C318B3" w:rsidP="00EC5118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8,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21,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22,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31,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35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11" w:right="-84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9628" w:type="dxa"/>
            <w:gridSpan w:val="7"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right="-85"/>
              <w:jc w:val="center"/>
              <w:rPr>
                <w:rFonts w:ascii="Times New Roman" w:hAnsi="Times New Roman"/>
                <w:spacing w:val="-4"/>
                <w:szCs w:val="20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szCs w:val="20"/>
                <w:lang w:eastAsia="ru-RU"/>
              </w:rPr>
              <w:t>2.</w:t>
            </w:r>
            <w:r w:rsidR="00FA671F">
              <w:rPr>
                <w:rFonts w:ascii="Times New Roman" w:hAnsi="Times New Roman"/>
                <w:spacing w:val="-4"/>
                <w:szCs w:val="20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szCs w:val="20"/>
                <w:lang w:eastAsia="ru-RU"/>
              </w:rPr>
              <w:t>Кадрові</w:t>
            </w:r>
            <w:r w:rsidR="00FA671F">
              <w:rPr>
                <w:rFonts w:ascii="Times New Roman" w:hAnsi="Times New Roman"/>
                <w:spacing w:val="-4"/>
                <w:szCs w:val="20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szCs w:val="20"/>
                <w:lang w:eastAsia="ru-RU"/>
              </w:rPr>
              <w:t>вимоги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2.1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Посадові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особи,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відповідальні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управління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ліцензіатом,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власниками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корпоративних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254CE">
              <w:rPr>
                <w:rFonts w:ascii="Times New Roman" w:eastAsia="Times New Roman" w:hAnsi="Times New Roman"/>
                <w:lang w:eastAsia="ru-RU"/>
              </w:rPr>
              <w:t>суб’єктів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господарювання,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мають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виробництво,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передачу,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розподіл,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5118">
              <w:rPr>
                <w:rFonts w:ascii="Times New Roman" w:eastAsia="Times New Roman" w:hAnsi="Times New Roman"/>
                <w:lang w:eastAsia="ru-RU"/>
              </w:rPr>
              <w:t>трейдерську</w:t>
            </w:r>
            <w:proofErr w:type="spellEnd"/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входять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складу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правління,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виконавчих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контрольних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органів,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наглядової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ради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підприємства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організації,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виробництво,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передачу,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розподіл,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5118">
              <w:rPr>
                <w:rFonts w:ascii="Times New Roman" w:eastAsia="Times New Roman" w:hAnsi="Times New Roman"/>
                <w:lang w:eastAsia="ru-RU"/>
              </w:rPr>
              <w:t>трейдерську</w:t>
            </w:r>
            <w:proofErr w:type="spellEnd"/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3254CE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2.1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2.2</w:t>
            </w:r>
          </w:p>
        </w:tc>
        <w:tc>
          <w:tcPr>
            <w:tcW w:w="3266" w:type="dxa"/>
          </w:tcPr>
          <w:p w:rsidR="00C318B3" w:rsidRPr="00EC5118" w:rsidRDefault="00C318B3" w:rsidP="0081466D">
            <w:pPr>
              <w:keepNext/>
              <w:spacing w:after="0" w:line="240" w:lineRule="auto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дотримується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кадрових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зокрема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оформляє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трудові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відносини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персоналом</w:t>
            </w:r>
            <w:bookmarkStart w:id="0" w:name="_GoBack"/>
            <w:bookmarkEnd w:id="0"/>
            <w:r w:rsidR="0081466D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, який задіяний для виконання функцій ліцензованої діяльності,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шляхом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укладення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трудових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положень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Кодексу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працю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також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шляхом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залучення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осіб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окремих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робіт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(послуг)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підставах,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lastRenderedPageBreak/>
              <w:t>заборонених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чинним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законодавством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uk-UA"/>
              </w:rPr>
              <w:t>стаття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24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Кодексу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законів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про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працю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України;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2.1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9628" w:type="dxa"/>
            <w:gridSpan w:val="7"/>
            <w:vAlign w:val="center"/>
          </w:tcPr>
          <w:p w:rsidR="00C318B3" w:rsidRPr="00EC5118" w:rsidRDefault="00C318B3" w:rsidP="00EC5118">
            <w:pPr>
              <w:pStyle w:val="1"/>
              <w:keepNext/>
              <w:spacing w:after="0" w:line="240" w:lineRule="auto"/>
              <w:ind w:left="360" w:right="-85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uk-UA"/>
              </w:rPr>
              <w:lastRenderedPageBreak/>
              <w:t>3.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Організаційні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вимоги</w:t>
            </w:r>
          </w:p>
        </w:tc>
      </w:tr>
      <w:tr w:rsidR="00C318B3" w:rsidRPr="00EC5118" w:rsidTr="00EC5118">
        <w:tblPrEx>
          <w:tblLook w:val="00A0" w:firstRow="1" w:lastRow="0" w:firstColumn="1" w:lastColumn="0" w:noHBand="0" w:noVBand="0"/>
        </w:tblPrEx>
        <w:trPr>
          <w:cantSplit/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3.1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провадить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ліцензовану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приміщенні,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повністю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відокремленому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приміщень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учасників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провадять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виключно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застосуванням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заявлених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засобів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зазначених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додаються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заяви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змін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документів,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поданих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НКРЕКП)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4F0950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153" w:right="-17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3.2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провадить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наявності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договорів</w:t>
            </w:r>
            <w:r w:rsidR="00F11551">
              <w:rPr>
                <w:rFonts w:ascii="Times New Roman" w:eastAsia="Times New Roman" w:hAnsi="Times New Roman"/>
                <w:lang w:eastAsia="ru-RU"/>
              </w:rPr>
              <w:t>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укладення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обов’язковим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11551">
              <w:rPr>
                <w:rFonts w:ascii="Times New Roman" w:eastAsia="Times New Roman" w:hAnsi="Times New Roman"/>
                <w:lang w:eastAsia="ru-RU"/>
              </w:rPr>
              <w:t>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умови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цих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договорів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2019-VIII;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9,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15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3.3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провадить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ліцензовану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моменту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укладення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врегулювання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небалансів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оператором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системи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передачі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порядку,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28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3.4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учасникам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інформацію,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необхідну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обсягах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порядку,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нормативно-правовими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актами,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19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3.5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письмово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повідомляє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намір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вчинення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відношенню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засобів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господарської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дій,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продаж,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передача,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переуступка,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дарування,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оренду,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кредит,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іпотеку,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lastRenderedPageBreak/>
              <w:t>поручительство,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збереження,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обмеження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припинення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використання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тощо,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призведуть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неспроможності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виконувати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обов’язки,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цими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408AA">
              <w:rPr>
                <w:rFonts w:ascii="Times New Roman" w:eastAsia="Times New Roman" w:hAnsi="Times New Roman"/>
                <w:lang w:eastAsia="ru-RU"/>
              </w:rPr>
              <w:t>л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іцензійними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умовами,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вартість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відновлення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(вартість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заміщення)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засобу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становитиме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понад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200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(двісті)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тис.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грн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10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3.6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повідомлення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договірні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обсяги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купівлі-продажу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двосторонніми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порядку,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Правила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ринку,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затверджені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постановою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Національної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комісії,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що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здійснює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державне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регулювання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сферах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енергетики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комунальних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послуг</w:t>
            </w:r>
            <w:r w:rsidR="00F11551">
              <w:rPr>
                <w:rFonts w:ascii="Times New Roman" w:hAnsi="Times New Roman"/>
                <w:spacing w:val="-4"/>
                <w:lang w:eastAsia="ru-RU"/>
              </w:rPr>
              <w:t>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від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березня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2018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року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307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(далі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–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ПРЕЕ);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3.7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купує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1551">
              <w:rPr>
                <w:rFonts w:ascii="Times New Roman" w:eastAsia="Times New Roman" w:hAnsi="Times New Roman"/>
                <w:lang w:eastAsia="ru-RU"/>
              </w:rPr>
              <w:t>суб’єктів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господарювання,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встановлено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«зелений»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усю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відпущену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енергію,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вироблену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1551">
              <w:rPr>
                <w:rFonts w:ascii="Times New Roman" w:eastAsia="Times New Roman" w:hAnsi="Times New Roman"/>
                <w:lang w:eastAsia="ru-RU"/>
              </w:rPr>
              <w:t>об’єктах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електроенергетики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альтернативних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джерел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використанням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гідроенергії</w:t>
            </w:r>
            <w:r w:rsidR="00F11551">
              <w:rPr>
                <w:rFonts w:ascii="Times New Roman" w:eastAsia="Times New Roman" w:hAnsi="Times New Roman"/>
                <w:lang w:eastAsia="ru-RU"/>
              </w:rPr>
              <w:t> 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–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вироблену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лише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мікро-,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міні-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малими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гідроелектростанціями),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встановленим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їм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надбавки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нього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протягом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усього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строку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застосування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«зеленого»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11551">
              <w:rPr>
                <w:rFonts w:ascii="Times New Roman" w:eastAsia="Times New Roman" w:hAnsi="Times New Roman"/>
                <w:lang w:eastAsia="ru-RU"/>
              </w:rPr>
              <w:t>суб’єкти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господарювання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входять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складу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балансуючої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групи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тарифом,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оператору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системи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передачі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послугу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збільшення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частки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виробництва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lastRenderedPageBreak/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альтернативних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джерел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Типовий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договір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надання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послуг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із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забезпечення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збільшення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частки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виробництва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альтернативних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джерел,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форма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якого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затверджена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НКРЕКП;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12,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3.8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своєчасно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обсязі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оплату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купленої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тарифом,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фактичний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обсяг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відпущеної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об'єктах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електроенергетики,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використовують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альтернативні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джерела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використанням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гідроенергії</w:t>
            </w:r>
            <w:r w:rsidR="00F11551">
              <w:rPr>
                <w:rFonts w:ascii="Times New Roman" w:eastAsia="Times New Roman" w:hAnsi="Times New Roman"/>
                <w:lang w:eastAsia="ru-RU"/>
              </w:rPr>
              <w:t> –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вироблену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лише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мікро-,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міні-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малими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гідроелектростанціями),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підставі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даних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комерційного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обліку,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отриманих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адміністратора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комерційного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обліку,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порядку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строки,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договорами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16,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18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3.9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стороною,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відповідальною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баланс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балансуючої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групи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тарифом,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якими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уклав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двосторонні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переваги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окремим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виробникам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встановлено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«зелений»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та/або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перешкоджає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їм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здійсненні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своєї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рамках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балансуючої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групи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тарифом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13,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FA671F" w:rsidP="00EC5118">
            <w:pPr>
              <w:tabs>
                <w:tab w:val="left" w:pos="273"/>
              </w:tabs>
              <w:spacing w:after="0" w:line="240" w:lineRule="auto"/>
              <w:ind w:left="-27" w:right="-28" w:hanging="120"/>
              <w:rPr>
                <w:rFonts w:ascii="Times New Roman" w:hAnsi="Times New Roman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Cs w:val="20"/>
                <w:lang w:val="en-US" w:eastAsia="uk-UA"/>
              </w:rPr>
              <w:t xml:space="preserve"> </w:t>
            </w:r>
            <w:r w:rsidR="00C318B3" w:rsidRPr="00EC5118">
              <w:rPr>
                <w:rFonts w:ascii="Times New Roman" w:hAnsi="Times New Roman"/>
                <w:szCs w:val="20"/>
                <w:lang w:val="en-US" w:eastAsia="uk-UA"/>
              </w:rPr>
              <w:t>3.10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свої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обов'язки,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порядку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купівлі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нормативно-правових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документах,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ПРЕЕ;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Правила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«на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добу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наперед»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внутрішньодобового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ринку,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затверджені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постановою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Національної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комісії,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здійснює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державне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регулювання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сферах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енергетики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комунальних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послуг</w:t>
            </w:r>
            <w:r w:rsidR="00F11551">
              <w:rPr>
                <w:rFonts w:ascii="Times New Roman" w:eastAsia="Times New Roman" w:hAnsi="Times New Roman"/>
                <w:spacing w:val="-4"/>
                <w:lang w:eastAsia="ru-RU"/>
              </w:rPr>
              <w:t>,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від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14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березня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2018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року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spacing w:val="-4"/>
                <w:lang w:eastAsia="ru-RU"/>
              </w:rPr>
              <w:t>308;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lastRenderedPageBreak/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29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FA671F" w:rsidP="00EC5118">
            <w:pPr>
              <w:spacing w:after="0" w:line="240" w:lineRule="auto"/>
              <w:ind w:left="-12" w:right="-28" w:hanging="135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 xml:space="preserve"> </w:t>
            </w:r>
            <w:r w:rsidR="00C318B3" w:rsidRPr="00EC5118">
              <w:rPr>
                <w:rFonts w:ascii="Times New Roman" w:hAnsi="Times New Roman"/>
                <w:szCs w:val="20"/>
                <w:lang w:val="en-US" w:eastAsia="uk-UA"/>
              </w:rPr>
              <w:t>3.11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провадить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ліцензовану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засадах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ефективності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мінімізації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витрат,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пов'язаних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спеціальних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обов'язків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загальносуспільного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інтересу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30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FA671F" w:rsidP="00EC5118">
            <w:pPr>
              <w:spacing w:after="0" w:line="240" w:lineRule="auto"/>
              <w:ind w:right="-28" w:hanging="147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Cs w:val="20"/>
                <w:lang w:val="en-US" w:eastAsia="uk-UA"/>
              </w:rPr>
              <w:t xml:space="preserve"> </w:t>
            </w:r>
            <w:r w:rsidR="00C318B3" w:rsidRPr="00EC5118">
              <w:rPr>
                <w:rFonts w:ascii="Times New Roman" w:hAnsi="Times New Roman"/>
                <w:szCs w:val="20"/>
                <w:lang w:val="en-US" w:eastAsia="uk-UA"/>
              </w:rPr>
              <w:t>3.12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конфіденційність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інформації,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отриманої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учасників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використовується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своїх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становить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комерційну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таємницю,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законодавства,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також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стосовно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своєї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розкриття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може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надавати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комерційні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переваги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учасникам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23,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 w:hanging="147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3.13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зберігає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всі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відомості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укладені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двосторонні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договори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купівлі-продажу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організованих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сегментах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протягом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п'яти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років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FA671F" w:rsidP="00EC5118">
            <w:pPr>
              <w:spacing w:after="0" w:line="240" w:lineRule="auto"/>
              <w:ind w:right="-28" w:hanging="147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Cs w:val="20"/>
                <w:lang w:val="en-US" w:eastAsia="uk-UA"/>
              </w:rPr>
              <w:t xml:space="preserve"> </w:t>
            </w:r>
            <w:r w:rsidR="00C318B3" w:rsidRPr="00EC5118">
              <w:rPr>
                <w:rFonts w:ascii="Times New Roman" w:hAnsi="Times New Roman"/>
                <w:szCs w:val="20"/>
                <w:lang w:val="en-US" w:eastAsia="uk-UA"/>
              </w:rPr>
              <w:t>3.14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дотримується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надання,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захисту,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розкриття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оприлюднення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інформації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нормативно-правових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актів,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регулюють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FA671F" w:rsidP="00EC5118">
            <w:pPr>
              <w:spacing w:after="0" w:line="240" w:lineRule="auto"/>
              <w:ind w:right="-28" w:hanging="147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Cs w:val="20"/>
                <w:lang w:val="en-US" w:eastAsia="uk-UA"/>
              </w:rPr>
              <w:t xml:space="preserve"> </w:t>
            </w:r>
            <w:r w:rsidR="00C318B3" w:rsidRPr="00EC5118">
              <w:rPr>
                <w:rFonts w:ascii="Times New Roman" w:hAnsi="Times New Roman"/>
                <w:szCs w:val="20"/>
                <w:lang w:val="en-US" w:eastAsia="uk-UA"/>
              </w:rPr>
              <w:t>3.15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закупівлю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товарів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послуг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кошти,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отримані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цільовим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призначенням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дотриманням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принципів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5118">
              <w:rPr>
                <w:rFonts w:ascii="Times New Roman" w:eastAsia="Times New Roman" w:hAnsi="Times New Roman"/>
                <w:lang w:eastAsia="ru-RU"/>
              </w:rPr>
              <w:t>закупівель</w:t>
            </w:r>
            <w:proofErr w:type="spellEnd"/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публічні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закупівлі»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F11551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FA671F" w:rsidP="00EC5118">
            <w:pPr>
              <w:spacing w:after="0" w:line="240" w:lineRule="auto"/>
              <w:ind w:right="-28" w:hanging="147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 xml:space="preserve"> </w:t>
            </w:r>
            <w:r w:rsidR="00C318B3" w:rsidRPr="00EC5118">
              <w:rPr>
                <w:rFonts w:ascii="Times New Roman" w:hAnsi="Times New Roman"/>
                <w:szCs w:val="20"/>
                <w:lang w:val="en-US" w:eastAsia="uk-UA"/>
              </w:rPr>
              <w:t>3.16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урегульовує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спори,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виникають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між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учасниками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згідно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правилами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врегулювання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спорів,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виникають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між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суб'єктами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господарювання,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провадять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сферах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енергетики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комунальних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послуг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B408AA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B408AA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9628" w:type="dxa"/>
            <w:gridSpan w:val="7"/>
            <w:vAlign w:val="center"/>
          </w:tcPr>
          <w:p w:rsidR="00C318B3" w:rsidRPr="00EC5118" w:rsidRDefault="00C318B3" w:rsidP="00EC5118">
            <w:pPr>
              <w:keepNext/>
              <w:spacing w:after="0" w:line="240" w:lineRule="auto"/>
              <w:ind w:right="-85"/>
              <w:jc w:val="center"/>
              <w:rPr>
                <w:rFonts w:ascii="Times New Roman" w:hAnsi="Times New Roman"/>
                <w:spacing w:val="-4"/>
                <w:szCs w:val="20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szCs w:val="20"/>
                <w:lang w:eastAsia="ru-RU"/>
              </w:rPr>
              <w:t>4.</w:t>
            </w:r>
            <w:r w:rsidR="00FA671F">
              <w:rPr>
                <w:rFonts w:ascii="Times New Roman" w:hAnsi="Times New Roman"/>
                <w:spacing w:val="-4"/>
                <w:szCs w:val="20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szCs w:val="20"/>
                <w:lang w:eastAsia="ru-RU"/>
              </w:rPr>
              <w:t>Технологічні</w:t>
            </w:r>
            <w:r w:rsidR="00FA671F">
              <w:rPr>
                <w:rFonts w:ascii="Times New Roman" w:hAnsi="Times New Roman"/>
                <w:spacing w:val="-4"/>
                <w:szCs w:val="20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szCs w:val="20"/>
                <w:lang w:eastAsia="ru-RU"/>
              </w:rPr>
              <w:t>вимоги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4.1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hAnsi="Times New Roman"/>
                <w:bCs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програмно-апаратне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забезпечення,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операційні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можливості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дозволяють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виконувати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належним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чином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гарантованого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покупця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відповідає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вимогам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правил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балансуючої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групи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виробників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«зеленим»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тарифом,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надійне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безперебійне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функціонування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програмного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апаратно-технічного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гарантованого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покупця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B408AA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B408AA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4.2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забезпечує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постійне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інформаційної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безпеки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EC5118">
              <w:rPr>
                <w:rFonts w:ascii="Times New Roman" w:eastAsia="Times New Roman" w:hAnsi="Times New Roman"/>
                <w:lang w:eastAsia="ru-RU"/>
              </w:rPr>
              <w:t>кібербезпеки</w:t>
            </w:r>
            <w:proofErr w:type="spellEnd"/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засобів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(інформаційно-телекомунікаційних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систем,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автоматизованих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систем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управління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тощо)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урахуванням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законодавством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вимог,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також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інформації,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використовується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час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провадження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B408AA" w:rsidRDefault="00C318B3" w:rsidP="00EC511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4.3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Стратегії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proofErr w:type="spellStart"/>
            <w:r w:rsidRPr="00EC5118">
              <w:rPr>
                <w:rFonts w:ascii="Times New Roman" w:hAnsi="Times New Roman"/>
                <w:spacing w:val="-4"/>
                <w:lang w:eastAsia="ru-RU"/>
              </w:rPr>
              <w:t>кібербезпеки</w:t>
            </w:r>
            <w:proofErr w:type="spellEnd"/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України,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затвердженої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Указом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Президента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України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від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15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березня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84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2016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року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96;</w:t>
            </w:r>
          </w:p>
          <w:p w:rsidR="00C318B3" w:rsidRPr="00EC5118" w:rsidRDefault="00C318B3" w:rsidP="00EC5118">
            <w:pPr>
              <w:spacing w:after="0" w:line="240" w:lineRule="auto"/>
              <w:ind w:right="-84" w:firstLine="153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Закон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України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«Про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основні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засади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забезпечення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proofErr w:type="spellStart"/>
            <w:r w:rsidRPr="00EC5118">
              <w:rPr>
                <w:rFonts w:ascii="Times New Roman" w:hAnsi="Times New Roman"/>
                <w:spacing w:val="-4"/>
                <w:lang w:eastAsia="ru-RU"/>
              </w:rPr>
              <w:t>кібербезпеки</w:t>
            </w:r>
            <w:proofErr w:type="spellEnd"/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України»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(з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09</w:t>
            </w:r>
            <w:r w:rsidR="00C53D51">
              <w:rPr>
                <w:rFonts w:ascii="Times New Roman" w:hAnsi="Times New Roman"/>
                <w:spacing w:val="-4"/>
                <w:lang w:eastAsia="ru-RU"/>
              </w:rPr>
              <w:t xml:space="preserve"> травня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2018</w:t>
            </w:r>
            <w:r w:rsidR="00C53D51">
              <w:rPr>
                <w:rFonts w:ascii="Times New Roman" w:hAnsi="Times New Roman"/>
                <w:spacing w:val="-4"/>
                <w:lang w:eastAsia="ru-RU"/>
              </w:rPr>
              <w:t xml:space="preserve"> року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);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9628" w:type="dxa"/>
            <w:gridSpan w:val="7"/>
            <w:vAlign w:val="center"/>
          </w:tcPr>
          <w:p w:rsidR="00C318B3" w:rsidRPr="00EC5118" w:rsidRDefault="00C318B3" w:rsidP="00EC5118">
            <w:pPr>
              <w:pStyle w:val="1"/>
              <w:keepNext/>
              <w:spacing w:after="0" w:line="240" w:lineRule="auto"/>
              <w:ind w:left="360" w:right="-85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uk-UA"/>
              </w:rPr>
              <w:t>5.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Спеціальні</w:t>
            </w:r>
            <w:r w:rsidR="00FA671F">
              <w:rPr>
                <w:rFonts w:ascii="Times New Roman" w:hAnsi="Times New Roman"/>
                <w:spacing w:val="-4"/>
                <w:lang w:eastAsia="uk-UA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uk-UA"/>
              </w:rPr>
              <w:t>вимоги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5.1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Організаційно-правовою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формою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державне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підприємство,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визначене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Кабінетом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Міністрів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5.2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повідомляє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НКРЕКП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зміни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управлінні,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також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будь-які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зміни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lastRenderedPageBreak/>
              <w:t>структурі/складі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органів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управління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та/або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організаційній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структурі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ліцензіата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пізніше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п'яти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робочих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днів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дати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такої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зміни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B408AA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2,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3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lastRenderedPageBreak/>
              <w:t>5.3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діяльність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виробництва,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передачі,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розподілу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постачання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електричної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енергії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споживачу,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виконання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функцій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оператора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ринку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keepNext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5.4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веде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бухгалтерський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облік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готує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фінансові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звіти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ліцензованої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окремо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від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обліку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звітів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інших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видів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діяльності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B408AA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частини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другої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57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2019-VIII;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5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5.5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здійснює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перехресного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субсидіювання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B408AA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частина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третя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B408AA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статті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pacing w:val="-4"/>
                <w:lang w:eastAsia="ru-RU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ЗУ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2019-VIII;</w:t>
            </w:r>
          </w:p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6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  <w:tr w:rsidR="00C318B3" w:rsidRPr="00EC5118" w:rsidTr="00EC5118">
        <w:trPr>
          <w:trHeight w:val="20"/>
          <w:jc w:val="center"/>
        </w:trPr>
        <w:tc>
          <w:tcPr>
            <w:tcW w:w="563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Cs w:val="20"/>
                <w:lang w:val="en-US" w:eastAsia="uk-UA"/>
              </w:rPr>
            </w:pPr>
            <w:r w:rsidRPr="00EC5118">
              <w:rPr>
                <w:rFonts w:ascii="Times New Roman" w:hAnsi="Times New Roman"/>
                <w:szCs w:val="20"/>
                <w:lang w:val="en-US" w:eastAsia="uk-UA"/>
              </w:rPr>
              <w:t>5.6</w:t>
            </w:r>
          </w:p>
        </w:tc>
        <w:tc>
          <w:tcPr>
            <w:tcW w:w="3266" w:type="dxa"/>
          </w:tcPr>
          <w:p w:rsidR="00C318B3" w:rsidRPr="00EC5118" w:rsidRDefault="00C318B3" w:rsidP="00EC5118">
            <w:pPr>
              <w:spacing w:after="0"/>
              <w:ind w:left="-83" w:right="-85"/>
              <w:jc w:val="center"/>
              <w:rPr>
                <w:rFonts w:ascii="Times New Roman" w:eastAsia="Times New Roman" w:hAnsi="Times New Roman"/>
                <w:lang w:eastAsia="uk-UA"/>
              </w:rPr>
            </w:pPr>
            <w:r w:rsidRPr="00EC5118">
              <w:rPr>
                <w:rFonts w:ascii="Times New Roman" w:eastAsia="Times New Roman" w:hAnsi="Times New Roman"/>
                <w:lang w:eastAsia="ru-RU"/>
              </w:rPr>
              <w:t>Ліцензіат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не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допускає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над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собою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контролю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значенні,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наведеному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статті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1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захист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економічної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конкуренції»,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резидентами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держав,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що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здійснюють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збройну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агресію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значенні,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наведеному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статті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1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Закону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«Про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оборону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України»,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та/або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дії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яких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створюють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умови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для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виникнення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воєнного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конфлікту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та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застосування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воєнної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сили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проти</w:t>
            </w:r>
            <w:r w:rsidR="00FA67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C5118">
              <w:rPr>
                <w:rFonts w:ascii="Times New Roman" w:eastAsia="Times New Roman" w:hAnsi="Times New Roman"/>
                <w:lang w:eastAsia="ru-RU"/>
              </w:rPr>
              <w:t>України</w:t>
            </w:r>
          </w:p>
        </w:tc>
        <w:tc>
          <w:tcPr>
            <w:tcW w:w="1887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551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/>
                <w:spacing w:val="-4"/>
                <w:lang w:eastAsia="ru-RU"/>
              </w:rPr>
            </w:pPr>
          </w:p>
        </w:tc>
        <w:tc>
          <w:tcPr>
            <w:tcW w:w="2259" w:type="dxa"/>
          </w:tcPr>
          <w:p w:rsidR="00C318B3" w:rsidRPr="00EC5118" w:rsidRDefault="00C318B3" w:rsidP="00EC5118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bCs/>
                <w:spacing w:val="-4"/>
                <w:lang w:eastAsia="uk-UA"/>
              </w:rPr>
            </w:pPr>
            <w:r w:rsidRPr="00EC5118">
              <w:rPr>
                <w:rFonts w:ascii="Times New Roman" w:hAnsi="Times New Roman"/>
                <w:spacing w:val="-4"/>
                <w:lang w:eastAsia="ru-RU"/>
              </w:rPr>
              <w:t>підпункт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7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пункту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2.4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ЛУ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№</w:t>
            </w:r>
            <w:r w:rsidR="00FA671F">
              <w:rPr>
                <w:rFonts w:ascii="Times New Roman" w:hAnsi="Times New Roman"/>
                <w:spacing w:val="-4"/>
                <w:lang w:eastAsia="ru-RU"/>
              </w:rPr>
              <w:t xml:space="preserve"> </w:t>
            </w:r>
            <w:r w:rsidRPr="00EC5118">
              <w:rPr>
                <w:rFonts w:ascii="Times New Roman" w:hAnsi="Times New Roman"/>
                <w:spacing w:val="-4"/>
                <w:lang w:eastAsia="ru-RU"/>
              </w:rPr>
              <w:t>1471</w:t>
            </w:r>
          </w:p>
        </w:tc>
      </w:tr>
    </w:tbl>
    <w:p w:rsidR="00C318B3" w:rsidRPr="003C1B4D" w:rsidRDefault="00C318B3" w:rsidP="001159FE">
      <w:pPr>
        <w:spacing w:after="0"/>
        <w:rPr>
          <w:rFonts w:ascii="Times New Roman" w:hAnsi="Times New Roman"/>
          <w:sz w:val="24"/>
          <w:szCs w:val="24"/>
        </w:rPr>
      </w:pPr>
    </w:p>
    <w:p w:rsidR="00C318B3" w:rsidRDefault="00C318B3" w:rsidP="00F4774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E05DB6">
        <w:rPr>
          <w:rFonts w:ascii="Times New Roman" w:hAnsi="Times New Roman"/>
          <w:sz w:val="20"/>
          <w:szCs w:val="20"/>
        </w:rPr>
        <w:t>*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заповнюється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керівником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суб’єкта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господарювання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або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уповноваженою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ним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особою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="00B408AA">
        <w:rPr>
          <w:rFonts w:ascii="Times New Roman" w:hAnsi="Times New Roman"/>
          <w:sz w:val="20"/>
          <w:szCs w:val="20"/>
        </w:rPr>
        <w:t xml:space="preserve">в </w:t>
      </w:r>
      <w:r w:rsidRPr="00E05DB6">
        <w:rPr>
          <w:rFonts w:ascii="Times New Roman" w:hAnsi="Times New Roman"/>
          <w:sz w:val="20"/>
          <w:szCs w:val="20"/>
        </w:rPr>
        <w:t>добровільному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порядку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шляхом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присвоєння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кожному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з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питань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від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1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до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4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балів,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де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4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позначає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питання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щодо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вимоги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законодавства,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дотримання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якої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має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найбільше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адміністративне,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фінансове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або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будь-яке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інше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навантаження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на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суб’єкта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господарювання,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а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1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="00B408AA">
        <w:rPr>
          <w:rFonts w:ascii="Times New Roman" w:hAnsi="Times New Roman"/>
          <w:sz w:val="20"/>
          <w:szCs w:val="20"/>
        </w:rPr>
        <w:t xml:space="preserve">– </w:t>
      </w:r>
      <w:r w:rsidRPr="00E05DB6">
        <w:rPr>
          <w:rFonts w:ascii="Times New Roman" w:hAnsi="Times New Roman"/>
          <w:sz w:val="20"/>
          <w:szCs w:val="20"/>
        </w:rPr>
        <w:t>питання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щодо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вимоги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законодавства,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дотримання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якої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не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передбачає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такого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навантаження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на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суб’єкта</w:t>
      </w:r>
      <w:r w:rsidR="00FA671F">
        <w:rPr>
          <w:rFonts w:ascii="Times New Roman" w:hAnsi="Times New Roman"/>
          <w:sz w:val="20"/>
          <w:szCs w:val="20"/>
        </w:rPr>
        <w:t xml:space="preserve"> </w:t>
      </w:r>
      <w:r w:rsidRPr="00E05DB6">
        <w:rPr>
          <w:rFonts w:ascii="Times New Roman" w:hAnsi="Times New Roman"/>
          <w:sz w:val="20"/>
          <w:szCs w:val="20"/>
        </w:rPr>
        <w:t>господарювання.</w:t>
      </w:r>
    </w:p>
    <w:p w:rsidR="00380504" w:rsidRDefault="00380504" w:rsidP="00F4774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0504" w:rsidRDefault="00380504" w:rsidP="00F4774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80504" w:rsidRDefault="00380504" w:rsidP="00F4774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242A0" w:rsidRDefault="00B242A0" w:rsidP="00F4774A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B242A0" w:rsidRPr="0080740A" w:rsidRDefault="0080740A" w:rsidP="0080740A">
      <w:pPr>
        <w:ind w:firstLine="567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0740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 xml:space="preserve">{Додаток 4 в редакції Постанови Національної комісії, що здійснює державне регулювання у сферах енергетики та комунальних послуг </w:t>
      </w:r>
      <w:r w:rsidRPr="0080740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935 від 09.06.2021</w:t>
      </w:r>
      <w:r w:rsidRPr="0080740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;</w:t>
      </w:r>
      <w:r w:rsidRPr="0080740A">
        <w:rPr>
          <w:rStyle w:val="st121"/>
          <w:rFonts w:ascii="Times New Roman" w:hAnsi="Times New Roman"/>
          <w:color w:val="808080" w:themeColor="background1" w:themeShade="80"/>
          <w:sz w:val="24"/>
          <w:szCs w:val="24"/>
        </w:rPr>
        <w:t xml:space="preserve"> із змінами, внесеними згідно з Постановою Національної комісії, що здійснює державне регулювання у сферах енергетики та комунальних послуг </w:t>
      </w:r>
      <w:r w:rsidRPr="0080740A">
        <w:rPr>
          <w:rStyle w:val="st131"/>
          <w:rFonts w:ascii="Times New Roman" w:hAnsi="Times New Roman"/>
          <w:color w:val="808080" w:themeColor="background1" w:themeShade="80"/>
          <w:sz w:val="24"/>
          <w:szCs w:val="24"/>
        </w:rPr>
        <w:t>№ 1265 від 04.10.2022</w:t>
      </w:r>
      <w:r w:rsidRPr="0080740A">
        <w:rPr>
          <w:rStyle w:val="st46"/>
          <w:rFonts w:ascii="Times New Roman" w:hAnsi="Times New Roman"/>
          <w:color w:val="808080" w:themeColor="background1" w:themeShade="80"/>
          <w:sz w:val="24"/>
          <w:szCs w:val="24"/>
        </w:rPr>
        <w:t>}</w:t>
      </w:r>
    </w:p>
    <w:sectPr w:rsidR="00B242A0" w:rsidRPr="0080740A" w:rsidSect="002A0581">
      <w:headerReference w:type="default" r:id="rId8"/>
      <w:pgSz w:w="11906" w:h="16838"/>
      <w:pgMar w:top="1134" w:right="991" w:bottom="1134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EE" w:rsidRDefault="009158EE" w:rsidP="00FE0CEF">
      <w:pPr>
        <w:spacing w:after="0" w:line="240" w:lineRule="auto"/>
      </w:pPr>
      <w:r>
        <w:separator/>
      </w:r>
    </w:p>
  </w:endnote>
  <w:endnote w:type="continuationSeparator" w:id="0">
    <w:p w:rsidR="009158EE" w:rsidRDefault="009158EE" w:rsidP="00FE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EE" w:rsidRDefault="009158EE" w:rsidP="00FE0CEF">
      <w:pPr>
        <w:spacing w:after="0" w:line="240" w:lineRule="auto"/>
      </w:pPr>
      <w:r>
        <w:separator/>
      </w:r>
    </w:p>
  </w:footnote>
  <w:footnote w:type="continuationSeparator" w:id="0">
    <w:p w:rsidR="009158EE" w:rsidRDefault="009158EE" w:rsidP="00FE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581" w:rsidRPr="002A0581" w:rsidRDefault="002A0581">
    <w:pPr>
      <w:pStyle w:val="a6"/>
      <w:jc w:val="center"/>
      <w:rPr>
        <w:rFonts w:ascii="Times New Roman" w:hAnsi="Times New Roman"/>
        <w:sz w:val="24"/>
      </w:rPr>
    </w:pPr>
    <w:r w:rsidRPr="002A0581">
      <w:rPr>
        <w:rFonts w:ascii="Times New Roman" w:hAnsi="Times New Roman"/>
        <w:sz w:val="24"/>
      </w:rPr>
      <w:fldChar w:fldCharType="begin"/>
    </w:r>
    <w:r w:rsidRPr="002A0581">
      <w:rPr>
        <w:rFonts w:ascii="Times New Roman" w:hAnsi="Times New Roman"/>
        <w:sz w:val="24"/>
      </w:rPr>
      <w:instrText>PAGE   \* MERGEFORMAT</w:instrText>
    </w:r>
    <w:r w:rsidRPr="002A0581">
      <w:rPr>
        <w:rFonts w:ascii="Times New Roman" w:hAnsi="Times New Roman"/>
        <w:sz w:val="24"/>
      </w:rPr>
      <w:fldChar w:fldCharType="separate"/>
    </w:r>
    <w:r w:rsidR="0081466D">
      <w:rPr>
        <w:rFonts w:ascii="Times New Roman" w:hAnsi="Times New Roman"/>
        <w:noProof/>
        <w:sz w:val="24"/>
      </w:rPr>
      <w:t>4</w:t>
    </w:r>
    <w:r w:rsidRPr="002A0581">
      <w:rPr>
        <w:rFonts w:ascii="Times New Roman" w:hAnsi="Times New Roman"/>
        <w:sz w:val="24"/>
      </w:rPr>
      <w:fldChar w:fldCharType="end"/>
    </w:r>
  </w:p>
  <w:p w:rsidR="002A0581" w:rsidRDefault="002A0581" w:rsidP="002A0581">
    <w:pPr>
      <w:pStyle w:val="a6"/>
      <w:jc w:val="right"/>
      <w:rPr>
        <w:rFonts w:ascii="Times New Roman" w:hAnsi="Times New Roman"/>
        <w:sz w:val="24"/>
      </w:rPr>
    </w:pPr>
    <w:r w:rsidRPr="002A0581">
      <w:rPr>
        <w:rFonts w:ascii="Times New Roman" w:hAnsi="Times New Roman"/>
        <w:sz w:val="24"/>
      </w:rPr>
      <w:t>Продовження додатк</w:t>
    </w:r>
    <w:r w:rsidR="00766ED8">
      <w:rPr>
        <w:rFonts w:ascii="Times New Roman" w:hAnsi="Times New Roman"/>
        <w:sz w:val="24"/>
      </w:rPr>
      <w:t>а</w:t>
    </w:r>
    <w:r w:rsidRPr="002A0581">
      <w:rPr>
        <w:rFonts w:ascii="Times New Roman" w:hAnsi="Times New Roman"/>
        <w:sz w:val="24"/>
      </w:rPr>
      <w:t xml:space="preserve"> 4</w:t>
    </w:r>
  </w:p>
  <w:p w:rsidR="002A0581" w:rsidRPr="002A0581" w:rsidRDefault="002A0581" w:rsidP="002A0581">
    <w:pPr>
      <w:pStyle w:val="a6"/>
      <w:jc w:val="right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3EC"/>
    <w:multiLevelType w:val="multilevel"/>
    <w:tmpl w:val="AFEC6E6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385B3EDD"/>
    <w:multiLevelType w:val="multilevel"/>
    <w:tmpl w:val="3050EB4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399F430D"/>
    <w:multiLevelType w:val="multilevel"/>
    <w:tmpl w:val="DB468CF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4CC3297A"/>
    <w:multiLevelType w:val="hybridMultilevel"/>
    <w:tmpl w:val="B592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1444B8"/>
    <w:multiLevelType w:val="hybridMultilevel"/>
    <w:tmpl w:val="0F9AED8A"/>
    <w:lvl w:ilvl="0" w:tplc="BCA23DD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8A4FDF"/>
    <w:multiLevelType w:val="multilevel"/>
    <w:tmpl w:val="7BDAD42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7AC7728C"/>
    <w:multiLevelType w:val="multilevel"/>
    <w:tmpl w:val="EEE4668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4"/>
    <w:rsid w:val="00002AF9"/>
    <w:rsid w:val="00003E9D"/>
    <w:rsid w:val="000212E7"/>
    <w:rsid w:val="0004238B"/>
    <w:rsid w:val="00053172"/>
    <w:rsid w:val="000538DB"/>
    <w:rsid w:val="000643F6"/>
    <w:rsid w:val="00094084"/>
    <w:rsid w:val="000B232C"/>
    <w:rsid w:val="000B5B81"/>
    <w:rsid w:val="000E5F2E"/>
    <w:rsid w:val="00102D8A"/>
    <w:rsid w:val="001159FE"/>
    <w:rsid w:val="00124403"/>
    <w:rsid w:val="001249AE"/>
    <w:rsid w:val="00132DEF"/>
    <w:rsid w:val="001424B8"/>
    <w:rsid w:val="00151B0B"/>
    <w:rsid w:val="00182523"/>
    <w:rsid w:val="00192D9D"/>
    <w:rsid w:val="001B35A8"/>
    <w:rsid w:val="001E285A"/>
    <w:rsid w:val="001F13D0"/>
    <w:rsid w:val="00241DB7"/>
    <w:rsid w:val="00243714"/>
    <w:rsid w:val="0024413F"/>
    <w:rsid w:val="002475F8"/>
    <w:rsid w:val="00252212"/>
    <w:rsid w:val="00274067"/>
    <w:rsid w:val="00294899"/>
    <w:rsid w:val="002A0581"/>
    <w:rsid w:val="002B425D"/>
    <w:rsid w:val="002B5A6F"/>
    <w:rsid w:val="002D103D"/>
    <w:rsid w:val="00300464"/>
    <w:rsid w:val="0030053A"/>
    <w:rsid w:val="003021B5"/>
    <w:rsid w:val="00307E6E"/>
    <w:rsid w:val="003254CE"/>
    <w:rsid w:val="003257A8"/>
    <w:rsid w:val="003433C2"/>
    <w:rsid w:val="00356026"/>
    <w:rsid w:val="00362194"/>
    <w:rsid w:val="00377835"/>
    <w:rsid w:val="00380504"/>
    <w:rsid w:val="00397B6C"/>
    <w:rsid w:val="003A3F2D"/>
    <w:rsid w:val="003C0D97"/>
    <w:rsid w:val="003C141F"/>
    <w:rsid w:val="003C1B4D"/>
    <w:rsid w:val="003C342E"/>
    <w:rsid w:val="003C42F5"/>
    <w:rsid w:val="003C75D4"/>
    <w:rsid w:val="003D0450"/>
    <w:rsid w:val="003D540F"/>
    <w:rsid w:val="003F13DE"/>
    <w:rsid w:val="003F2643"/>
    <w:rsid w:val="004130F3"/>
    <w:rsid w:val="00422DE3"/>
    <w:rsid w:val="0042717B"/>
    <w:rsid w:val="00442768"/>
    <w:rsid w:val="00454074"/>
    <w:rsid w:val="00455EC5"/>
    <w:rsid w:val="0046079E"/>
    <w:rsid w:val="00462682"/>
    <w:rsid w:val="00483794"/>
    <w:rsid w:val="004A0EA6"/>
    <w:rsid w:val="004A4A7A"/>
    <w:rsid w:val="004C52C3"/>
    <w:rsid w:val="004C6197"/>
    <w:rsid w:val="004E1750"/>
    <w:rsid w:val="004E607A"/>
    <w:rsid w:val="004F0950"/>
    <w:rsid w:val="004F3820"/>
    <w:rsid w:val="004F65AB"/>
    <w:rsid w:val="005109B1"/>
    <w:rsid w:val="005152B7"/>
    <w:rsid w:val="00522353"/>
    <w:rsid w:val="00527C99"/>
    <w:rsid w:val="00551A23"/>
    <w:rsid w:val="00561DC6"/>
    <w:rsid w:val="00562B37"/>
    <w:rsid w:val="005941A0"/>
    <w:rsid w:val="005A4E24"/>
    <w:rsid w:val="005D28F9"/>
    <w:rsid w:val="005D7B9B"/>
    <w:rsid w:val="005F04F7"/>
    <w:rsid w:val="005F4BE7"/>
    <w:rsid w:val="005F6EDD"/>
    <w:rsid w:val="00605184"/>
    <w:rsid w:val="00626EE1"/>
    <w:rsid w:val="0064323F"/>
    <w:rsid w:val="00650730"/>
    <w:rsid w:val="006550E7"/>
    <w:rsid w:val="00671DD4"/>
    <w:rsid w:val="00683AB0"/>
    <w:rsid w:val="00690EED"/>
    <w:rsid w:val="00694C1D"/>
    <w:rsid w:val="006A0F62"/>
    <w:rsid w:val="006A5314"/>
    <w:rsid w:val="006B51C5"/>
    <w:rsid w:val="006B7F6F"/>
    <w:rsid w:val="006E05B7"/>
    <w:rsid w:val="006F14B6"/>
    <w:rsid w:val="007251E1"/>
    <w:rsid w:val="00735432"/>
    <w:rsid w:val="0075684E"/>
    <w:rsid w:val="00757AC6"/>
    <w:rsid w:val="00766ED8"/>
    <w:rsid w:val="0077060D"/>
    <w:rsid w:val="00783BDE"/>
    <w:rsid w:val="007A4ADA"/>
    <w:rsid w:val="007C25A9"/>
    <w:rsid w:val="007D5009"/>
    <w:rsid w:val="007E130F"/>
    <w:rsid w:val="007F5B97"/>
    <w:rsid w:val="00806B9E"/>
    <w:rsid w:val="0080740A"/>
    <w:rsid w:val="0081188B"/>
    <w:rsid w:val="0081466D"/>
    <w:rsid w:val="00817124"/>
    <w:rsid w:val="00823B37"/>
    <w:rsid w:val="00840B5E"/>
    <w:rsid w:val="00842AF2"/>
    <w:rsid w:val="00857D2C"/>
    <w:rsid w:val="008608D8"/>
    <w:rsid w:val="008651BE"/>
    <w:rsid w:val="00872309"/>
    <w:rsid w:val="00881716"/>
    <w:rsid w:val="008B69BF"/>
    <w:rsid w:val="008C02EE"/>
    <w:rsid w:val="008D2D9E"/>
    <w:rsid w:val="008D4022"/>
    <w:rsid w:val="008E379E"/>
    <w:rsid w:val="008E7A4C"/>
    <w:rsid w:val="00911352"/>
    <w:rsid w:val="00914ED5"/>
    <w:rsid w:val="009158EE"/>
    <w:rsid w:val="009242DB"/>
    <w:rsid w:val="00946FDC"/>
    <w:rsid w:val="00952289"/>
    <w:rsid w:val="009645C3"/>
    <w:rsid w:val="0098225E"/>
    <w:rsid w:val="009A2CFA"/>
    <w:rsid w:val="009B53A6"/>
    <w:rsid w:val="009D37BE"/>
    <w:rsid w:val="009D5160"/>
    <w:rsid w:val="009E7FEC"/>
    <w:rsid w:val="009F37E2"/>
    <w:rsid w:val="00A030DC"/>
    <w:rsid w:val="00A376AF"/>
    <w:rsid w:val="00A5273A"/>
    <w:rsid w:val="00A57B07"/>
    <w:rsid w:val="00A62EED"/>
    <w:rsid w:val="00A8459A"/>
    <w:rsid w:val="00A93C4E"/>
    <w:rsid w:val="00A94039"/>
    <w:rsid w:val="00A94F1F"/>
    <w:rsid w:val="00A951DB"/>
    <w:rsid w:val="00A96D90"/>
    <w:rsid w:val="00AA10DE"/>
    <w:rsid w:val="00AB22F7"/>
    <w:rsid w:val="00AB3D87"/>
    <w:rsid w:val="00AB5DFF"/>
    <w:rsid w:val="00AC7492"/>
    <w:rsid w:val="00AC7DC9"/>
    <w:rsid w:val="00AD2CB7"/>
    <w:rsid w:val="00AE3840"/>
    <w:rsid w:val="00B151C1"/>
    <w:rsid w:val="00B21DE9"/>
    <w:rsid w:val="00B242A0"/>
    <w:rsid w:val="00B408AA"/>
    <w:rsid w:val="00B432B0"/>
    <w:rsid w:val="00B57A5F"/>
    <w:rsid w:val="00B655C7"/>
    <w:rsid w:val="00B71FBD"/>
    <w:rsid w:val="00B8043E"/>
    <w:rsid w:val="00B913EE"/>
    <w:rsid w:val="00BA384C"/>
    <w:rsid w:val="00C05453"/>
    <w:rsid w:val="00C159DD"/>
    <w:rsid w:val="00C20B2B"/>
    <w:rsid w:val="00C25272"/>
    <w:rsid w:val="00C318B3"/>
    <w:rsid w:val="00C53D51"/>
    <w:rsid w:val="00C57560"/>
    <w:rsid w:val="00C737E2"/>
    <w:rsid w:val="00C774A3"/>
    <w:rsid w:val="00C87CC2"/>
    <w:rsid w:val="00CB7EB8"/>
    <w:rsid w:val="00CC6178"/>
    <w:rsid w:val="00CC698C"/>
    <w:rsid w:val="00CE0469"/>
    <w:rsid w:val="00CE04BE"/>
    <w:rsid w:val="00CF00EA"/>
    <w:rsid w:val="00CF5103"/>
    <w:rsid w:val="00D016D9"/>
    <w:rsid w:val="00D6059F"/>
    <w:rsid w:val="00D71354"/>
    <w:rsid w:val="00D8549D"/>
    <w:rsid w:val="00D905BA"/>
    <w:rsid w:val="00DA4768"/>
    <w:rsid w:val="00DD2A79"/>
    <w:rsid w:val="00DD4B37"/>
    <w:rsid w:val="00DE1A77"/>
    <w:rsid w:val="00E0076D"/>
    <w:rsid w:val="00E04215"/>
    <w:rsid w:val="00E04981"/>
    <w:rsid w:val="00E05DB6"/>
    <w:rsid w:val="00E2036D"/>
    <w:rsid w:val="00E31DEB"/>
    <w:rsid w:val="00E40CFA"/>
    <w:rsid w:val="00E43324"/>
    <w:rsid w:val="00E81046"/>
    <w:rsid w:val="00E84935"/>
    <w:rsid w:val="00E85179"/>
    <w:rsid w:val="00E958CD"/>
    <w:rsid w:val="00EA2C03"/>
    <w:rsid w:val="00EA63EF"/>
    <w:rsid w:val="00EC5118"/>
    <w:rsid w:val="00ED2299"/>
    <w:rsid w:val="00EE3E5D"/>
    <w:rsid w:val="00EF2AD6"/>
    <w:rsid w:val="00F11551"/>
    <w:rsid w:val="00F11786"/>
    <w:rsid w:val="00F2457A"/>
    <w:rsid w:val="00F4774A"/>
    <w:rsid w:val="00F53ADE"/>
    <w:rsid w:val="00F84242"/>
    <w:rsid w:val="00F94638"/>
    <w:rsid w:val="00FA671F"/>
    <w:rsid w:val="00FA69BB"/>
    <w:rsid w:val="00FA7565"/>
    <w:rsid w:val="00FB312A"/>
    <w:rsid w:val="00FB5B9A"/>
    <w:rsid w:val="00FE0CEF"/>
    <w:rsid w:val="00FE0FE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16F6C"/>
  <w15:docId w15:val="{E33DB598-80A7-49E4-96FB-579DD712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rsid w:val="006A5314"/>
    <w:rPr>
      <w:rFonts w:ascii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</w:style>
  <w:style w:type="table" w:styleId="a3">
    <w:name w:val="Table Grid"/>
    <w:basedOn w:val="a1"/>
    <w:rsid w:val="006A53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C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semiHidden/>
    <w:locked/>
    <w:rsid w:val="00CC698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E0C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link w:val="a6"/>
    <w:uiPriority w:val="99"/>
    <w:locked/>
    <w:rsid w:val="00FE0CEF"/>
    <w:rPr>
      <w:rFonts w:eastAsia="Times New Roman" w:cs="Times New Roman"/>
    </w:rPr>
  </w:style>
  <w:style w:type="paragraph" w:styleId="a8">
    <w:name w:val="footer"/>
    <w:basedOn w:val="a"/>
    <w:link w:val="a9"/>
    <w:rsid w:val="00FE0CE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locked/>
    <w:rsid w:val="00FE0CEF"/>
    <w:rPr>
      <w:rFonts w:eastAsia="Times New Roman" w:cs="Times New Roman"/>
    </w:rPr>
  </w:style>
  <w:style w:type="paragraph" w:customStyle="1" w:styleId="1">
    <w:name w:val="Абзац списку1"/>
    <w:basedOn w:val="a"/>
    <w:rsid w:val="00527C99"/>
    <w:pPr>
      <w:ind w:left="720"/>
      <w:contextualSpacing/>
    </w:pPr>
  </w:style>
  <w:style w:type="character" w:customStyle="1" w:styleId="st131">
    <w:name w:val="st131"/>
    <w:uiPriority w:val="99"/>
    <w:rsid w:val="00B655C7"/>
    <w:rPr>
      <w:i/>
      <w:iCs/>
      <w:color w:val="0000FF"/>
    </w:rPr>
  </w:style>
  <w:style w:type="character" w:customStyle="1" w:styleId="st46">
    <w:name w:val="st46"/>
    <w:uiPriority w:val="99"/>
    <w:rsid w:val="00B655C7"/>
    <w:rPr>
      <w:i/>
      <w:iCs/>
      <w:color w:val="000000"/>
    </w:rPr>
  </w:style>
  <w:style w:type="character" w:customStyle="1" w:styleId="st121">
    <w:name w:val="st121"/>
    <w:uiPriority w:val="99"/>
    <w:rsid w:val="0080740A"/>
    <w:rPr>
      <w:i/>
      <w:iCs/>
      <w:color w:val="000000"/>
    </w:rPr>
  </w:style>
  <w:style w:type="character" w:customStyle="1" w:styleId="st42">
    <w:name w:val="st42"/>
    <w:uiPriority w:val="99"/>
    <w:rsid w:val="0081466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F3DC-8346-4305-B2AB-6F75AFC8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9004</Words>
  <Characters>5133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Гопкало Ганна Володимирівна</cp:lastModifiedBy>
  <cp:revision>5</cp:revision>
  <cp:lastPrinted>2019-11-11T07:48:00Z</cp:lastPrinted>
  <dcterms:created xsi:type="dcterms:W3CDTF">2022-12-13T05:11:00Z</dcterms:created>
  <dcterms:modified xsi:type="dcterms:W3CDTF">2022-12-13T05:13:00Z</dcterms:modified>
</cp:coreProperties>
</file>