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B" w:rsidRPr="004A4866" w:rsidRDefault="00B45238" w:rsidP="008D4C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>Додаток 22</w:t>
      </w:r>
    </w:p>
    <w:p w:rsidR="00916E1B" w:rsidRPr="004A4866" w:rsidRDefault="00916E1B" w:rsidP="008D4C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  <w:lang w:eastAsia="uk-UA"/>
        </w:rPr>
      </w:pPr>
      <w:r w:rsidRPr="004A4866">
        <w:rPr>
          <w:rFonts w:ascii="Times New Roman" w:hAnsi="Times New Roman"/>
          <w:sz w:val="24"/>
          <w:szCs w:val="28"/>
          <w:lang w:eastAsia="uk-UA"/>
        </w:rPr>
        <w:t>до Порядку контролю за дотриманням ліцензіатами, що провадять діяльність у сферах енергетики та комунальних послуг, законодавства у відповідних сферах та ліцензійних умов</w:t>
      </w:r>
    </w:p>
    <w:p w:rsidR="00916E1B" w:rsidRPr="008D4CE4" w:rsidRDefault="00916E1B" w:rsidP="00324F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6E1B" w:rsidRPr="008D4CE4" w:rsidRDefault="00916E1B" w:rsidP="00033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D4CE4">
        <w:rPr>
          <w:rFonts w:ascii="Times New Roman" w:hAnsi="Times New Roman"/>
          <w:b/>
          <w:bCs/>
          <w:sz w:val="28"/>
          <w:szCs w:val="28"/>
          <w:lang w:eastAsia="uk-UA"/>
        </w:rPr>
        <w:t>МЕТОДИКА</w:t>
      </w:r>
    </w:p>
    <w:p w:rsidR="00916E1B" w:rsidRPr="008D4CE4" w:rsidRDefault="00916E1B" w:rsidP="000337B0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D4CE4"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 сум надлишково отриманого або недоотриманого доходу від здійснення ліцензованої діяльності з розподілу електричної енергії</w:t>
      </w:r>
    </w:p>
    <w:p w:rsidR="00916E1B" w:rsidRPr="008D4CE4" w:rsidRDefault="00916E1B" w:rsidP="00324F38">
      <w:pPr>
        <w:spacing w:after="0" w:line="240" w:lineRule="auto"/>
        <w:ind w:firstLine="709"/>
        <w:jc w:val="center"/>
        <w:rPr>
          <w:rStyle w:val="rvts15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16E1B" w:rsidRDefault="00916E1B" w:rsidP="00E05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CE4">
        <w:rPr>
          <w:rFonts w:ascii="Times New Roman" w:hAnsi="Times New Roman"/>
          <w:sz w:val="28"/>
          <w:szCs w:val="28"/>
          <w:shd w:val="clear" w:color="auto" w:fill="FFFFFF"/>
        </w:rPr>
        <w:t>1. Положення цього додатк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D4CE4">
        <w:rPr>
          <w:rFonts w:ascii="Times New Roman" w:hAnsi="Times New Roman"/>
          <w:sz w:val="28"/>
          <w:szCs w:val="28"/>
          <w:shd w:val="clear" w:color="auto" w:fill="FFFFFF"/>
        </w:rPr>
        <w:t xml:space="preserve"> застосовуються членами комісії з перевірки під час проведення </w:t>
      </w:r>
      <w:r w:rsidRPr="00E05F2B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планових або позапланових перевірок ліцензіатів НКРЕКП з розподілу електричної енергії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E05F2B">
        <w:rPr>
          <w:rFonts w:ascii="Times New Roman" w:hAnsi="Times New Roman"/>
          <w:sz w:val="28"/>
          <w:szCs w:val="28"/>
        </w:rPr>
        <w:t>операторів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Pr="00E05F2B">
        <w:rPr>
          <w:rFonts w:ascii="Times New Roman" w:hAnsi="Times New Roman"/>
          <w:sz w:val="28"/>
          <w:szCs w:val="28"/>
        </w:rPr>
        <w:t xml:space="preserve"> розподілу, яким встановлено тарифи за методологією «Витрати плюс»</w:t>
      </w:r>
      <w:r w:rsidRPr="00E05F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6E1B" w:rsidRPr="008D4CE4" w:rsidRDefault="00916E1B" w:rsidP="00324F3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>2. В акті перевірки має бути відображена інформація щодо: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 xml:space="preserve">вартісних показників </w:t>
      </w:r>
      <w:r>
        <w:rPr>
          <w:rFonts w:ascii="Times New Roman" w:hAnsi="Times New Roman"/>
          <w:sz w:val="28"/>
          <w:szCs w:val="28"/>
          <w:lang w:eastAsia="uk-UA"/>
        </w:rPr>
        <w:t>–</w:t>
      </w:r>
      <w:r w:rsidRPr="008D4CE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8D4CE4">
        <w:rPr>
          <w:rFonts w:ascii="Times New Roman" w:hAnsi="Times New Roman"/>
          <w:sz w:val="28"/>
          <w:szCs w:val="28"/>
          <w:lang w:eastAsia="uk-UA"/>
        </w:rPr>
        <w:t xml:space="preserve"> тис. грн з точністю до двох цифр після коми, без податку на додану вартість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CE4">
        <w:rPr>
          <w:rFonts w:ascii="Times New Roman" w:hAnsi="Times New Roman"/>
          <w:sz w:val="28"/>
          <w:szCs w:val="28"/>
        </w:rPr>
        <w:t xml:space="preserve">обсягу розподілу електричної енергії – у </w:t>
      </w:r>
      <w:proofErr w:type="spellStart"/>
      <w:r w:rsidRPr="008D4CE4">
        <w:rPr>
          <w:rFonts w:ascii="Times New Roman" w:hAnsi="Times New Roman"/>
          <w:sz w:val="28"/>
          <w:szCs w:val="28"/>
        </w:rPr>
        <w:t>МВт·год</w:t>
      </w:r>
      <w:proofErr w:type="spellEnd"/>
      <w:r w:rsidRPr="008D4CE4">
        <w:rPr>
          <w:rFonts w:ascii="Times New Roman" w:hAnsi="Times New Roman"/>
          <w:sz w:val="28"/>
          <w:szCs w:val="28"/>
        </w:rPr>
        <w:t xml:space="preserve"> з округленням до цілого числа</w:t>
      </w:r>
      <w:r>
        <w:rPr>
          <w:rFonts w:ascii="Times New Roman" w:hAnsi="Times New Roman"/>
          <w:sz w:val="28"/>
          <w:szCs w:val="28"/>
        </w:rPr>
        <w:t>;</w:t>
      </w:r>
      <w:r w:rsidRPr="008D4CE4">
        <w:rPr>
          <w:rFonts w:ascii="Times New Roman" w:hAnsi="Times New Roman"/>
          <w:sz w:val="28"/>
          <w:szCs w:val="28"/>
        </w:rPr>
        <w:t xml:space="preserve"> 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тарифів та цін –  у грн/</w:t>
      </w:r>
      <w:proofErr w:type="spellStart"/>
      <w:r w:rsidRPr="008D4CE4">
        <w:rPr>
          <w:rFonts w:ascii="Times New Roman" w:hAnsi="Times New Roman"/>
          <w:sz w:val="28"/>
          <w:szCs w:val="28"/>
        </w:rPr>
        <w:t>МВт·год</w:t>
      </w:r>
      <w:proofErr w:type="spellEnd"/>
      <w:r w:rsidRPr="008D4CE4">
        <w:rPr>
          <w:rFonts w:ascii="Times New Roman" w:hAnsi="Times New Roman"/>
          <w:sz w:val="28"/>
          <w:szCs w:val="28"/>
        </w:rPr>
        <w:t xml:space="preserve"> з округленням до двох знаків після коми;</w:t>
      </w:r>
    </w:p>
    <w:p w:rsidR="00916E1B" w:rsidRDefault="00916E1B" w:rsidP="00324F3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 xml:space="preserve">показників у відсотковому значенні </w:t>
      </w:r>
      <w:r>
        <w:rPr>
          <w:rFonts w:ascii="Times New Roman" w:hAnsi="Times New Roman"/>
          <w:sz w:val="28"/>
          <w:szCs w:val="28"/>
          <w:lang w:eastAsia="uk-UA"/>
        </w:rPr>
        <w:t>–</w:t>
      </w:r>
      <w:r w:rsidRPr="008D4CE4">
        <w:rPr>
          <w:rFonts w:ascii="Times New Roman" w:hAnsi="Times New Roman"/>
          <w:sz w:val="28"/>
          <w:szCs w:val="28"/>
          <w:lang w:eastAsia="uk-UA"/>
        </w:rPr>
        <w:t xml:space="preserve"> у % з точністю до двох цифр після коми.</w:t>
      </w:r>
    </w:p>
    <w:p w:rsidR="00661A03" w:rsidRPr="00661A03" w:rsidRDefault="00661A03" w:rsidP="00324F3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uk-UA"/>
        </w:rPr>
      </w:pPr>
      <w:r w:rsidRPr="00661A03">
        <w:rPr>
          <w:rStyle w:val="st42"/>
          <w:rFonts w:ascii="Times New Roman" w:hAnsi="Times New Roman"/>
          <w:sz w:val="28"/>
          <w:szCs w:val="28"/>
        </w:rPr>
        <w:t>показників у відносних одиницях - у в. о. з точністю до чотирьох цифр після коми.</w:t>
      </w:r>
    </w:p>
    <w:p w:rsidR="00916E1B" w:rsidRPr="008D4CE4" w:rsidRDefault="00916E1B" w:rsidP="00324F3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16E1B" w:rsidRDefault="00916E1B" w:rsidP="00FE64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CE4">
        <w:rPr>
          <w:rFonts w:ascii="Times New Roman" w:hAnsi="Times New Roman"/>
          <w:sz w:val="28"/>
          <w:szCs w:val="28"/>
          <w:shd w:val="clear" w:color="auto" w:fill="FFFFFF"/>
        </w:rPr>
        <w:t xml:space="preserve">3. Звітний рік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D4CE4"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 діяльності ліцензіата з розподілу електричної енергії, який перевіряється та який дорівнює календарному року.</w:t>
      </w:r>
    </w:p>
    <w:p w:rsidR="00916E1B" w:rsidRPr="008D4CE4" w:rsidRDefault="00916E1B" w:rsidP="004175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E1B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CE4">
        <w:rPr>
          <w:rFonts w:ascii="Times New Roman" w:hAnsi="Times New Roman"/>
          <w:sz w:val="28"/>
          <w:szCs w:val="28"/>
          <w:shd w:val="clear" w:color="auto" w:fill="FFFFFF"/>
        </w:rPr>
        <w:t>4. З метою визначення об’єктивної суми коштів, отриманої для фінансування ліцензованої 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4CE4"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проведенні планових або позапланових перевірок в акті перевірки фіксуються такі показники: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E1B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CE4">
        <w:rPr>
          <w:rFonts w:ascii="Times New Roman" w:hAnsi="Times New Roman"/>
          <w:sz w:val="28"/>
          <w:szCs w:val="28"/>
          <w:shd w:val="clear" w:color="auto" w:fill="FFFFFF"/>
        </w:rPr>
        <w:t>1) фактична сума частини чистого прибутку (дивідендів) на державну частку акцій, нараховану за підсумками попереднього року та виплачену у звітному році відповідно до платіжних доручень, наданих ліцензіатом;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 xml:space="preserve">2) фактична сума витрат відповідно до даних за формою звітності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8D4CE4">
        <w:rPr>
          <w:rFonts w:ascii="Times New Roman" w:hAnsi="Times New Roman"/>
          <w:sz w:val="28"/>
          <w:szCs w:val="28"/>
          <w:lang w:eastAsia="uk-UA"/>
        </w:rPr>
        <w:t>№ 2-НКРЕКП-розподіл електричної енергії (квартальна) «Звіт про фінансові результати та виконання структури тарифів за видами діяльності», затверджено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r w:rsidRPr="008D4CE4">
        <w:rPr>
          <w:rFonts w:ascii="Times New Roman" w:hAnsi="Times New Roman"/>
          <w:sz w:val="28"/>
          <w:szCs w:val="28"/>
          <w:lang w:eastAsia="uk-UA"/>
        </w:rPr>
        <w:t xml:space="preserve"> постановою НКРЕКП від 28 лютого 2019 року № 282 (далі – форма звітності № 2-НКРЕКП-розподіл електричної енергії), за статтями: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>«витрати на ремонт» з урахуванням капіталізованих витрат за бухгалтерським обліком за статтями «виробничі послуги», «сировина і матеріали» та «витрати на ремонт»;</w:t>
      </w:r>
    </w:p>
    <w:p w:rsidR="00916E1B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lastRenderedPageBreak/>
        <w:t>«витрати на оплату праці», «відрахування на соціальні заходи» та «витрати на паливно-мастильні матеріали» з урахуванням капіталізованих витрат за бухгалтерським обліком при виконанні ремонтів та інвестиційної програми;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6E1B" w:rsidRDefault="00916E1B" w:rsidP="00324F38">
      <w:pPr>
        <w:spacing w:after="0" w:line="240" w:lineRule="auto"/>
        <w:ind w:firstLine="709"/>
        <w:jc w:val="both"/>
        <w:rPr>
          <w:rStyle w:val="st42"/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661A03" w:rsidRPr="00661A03">
        <w:rPr>
          <w:rStyle w:val="st42"/>
          <w:rFonts w:ascii="Times New Roman" w:hAnsi="Times New Roman"/>
          <w:sz w:val="28"/>
          <w:szCs w:val="28"/>
        </w:rPr>
        <w:t>сума невиконання інвестиційної програми за звітний рік, яка визначається як сума коштів, передбачена схваленою інвестиційною програмою по заходах, які згідно з Порядком розроблення та подання на затвердження планів розвитку систем розподілу та інвестиційних програм операторів систем розподілу, затвердженим постановою НКРЕКП від 04 вересня 2018 року № 955, вважаються не виконаними (у тис. грн та % від загальної суми схваленої інвестиційної програми), із зазначенням джерел фінансування, щодо яких відбулося невик</w:t>
      </w:r>
      <w:r w:rsidR="00661A03">
        <w:rPr>
          <w:rStyle w:val="st42"/>
          <w:rFonts w:ascii="Times New Roman" w:hAnsi="Times New Roman"/>
          <w:sz w:val="28"/>
          <w:szCs w:val="28"/>
        </w:rPr>
        <w:t>онання інвестиційної програми;</w:t>
      </w:r>
    </w:p>
    <w:p w:rsidR="00661A03" w:rsidRPr="00661A03" w:rsidRDefault="00661A03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4) сума перевищення вартості заходів інвестиційної програми на звітний рік: до 5 %, від 5 % до 10 %, понад 10 %, що розраховується за формулами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до 5</w:t>
      </w:r>
      <w:r>
        <w:rPr>
          <w:sz w:val="28"/>
          <w:szCs w:val="28"/>
        </w:rPr>
        <w:t xml:space="preserve"> </w:t>
      </w:r>
      <w:r w:rsidRPr="008D4CE4">
        <w:rPr>
          <w:sz w:val="28"/>
          <w:szCs w:val="28"/>
        </w:rPr>
        <w:t>%: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8385" cy="480060"/>
            <wp:effectExtent l="0" t="0" r="0" b="0"/>
            <wp:docPr id="1" name="Рисунок 8" descr="Описание: https://zakon.rada.gov.ua/laws/file/imgs/80/p476288n416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zakon.rada.gov.ua/laws/file/imgs/80/p476288n416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7329CA" w:rsidRDefault="00916E1B" w:rsidP="000E3F7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  <w:r w:rsidRPr="007329CA">
        <w:rPr>
          <w:sz w:val="28"/>
          <w:szCs w:val="28"/>
          <w:lang w:val="ru-RU" w:eastAsia="ru-RU"/>
        </w:rPr>
        <w:t xml:space="preserve">де n – </w:t>
      </w:r>
      <w:r w:rsidRPr="007329CA">
        <w:rPr>
          <w:sz w:val="28"/>
          <w:szCs w:val="28"/>
          <w:lang w:eastAsia="ru-RU"/>
        </w:rPr>
        <w:t xml:space="preserve">кількість заходів ІП,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яки</w:t>
      </w:r>
      <w:r>
        <w:rPr>
          <w:sz w:val="28"/>
          <w:szCs w:val="28"/>
          <w:lang w:eastAsia="ru-RU"/>
        </w:rPr>
        <w:t>ми</w:t>
      </w:r>
      <w:r w:rsidRPr="007329CA">
        <w:rPr>
          <w:sz w:val="28"/>
          <w:szCs w:val="28"/>
          <w:lang w:eastAsia="ru-RU"/>
        </w:rPr>
        <w:t xml:space="preserve"> допущено перевищення вартості в межах 5 %</w:t>
      </w:r>
      <w:r>
        <w:rPr>
          <w:sz w:val="28"/>
          <w:szCs w:val="28"/>
          <w:lang w:eastAsia="ru-RU"/>
        </w:rPr>
        <w:t>;</w:t>
      </w:r>
    </w:p>
    <w:p w:rsidR="00916E1B" w:rsidRPr="007329CA" w:rsidRDefault="00916E1B" w:rsidP="000E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29CA">
        <w:rPr>
          <w:rFonts w:ascii="Times New Roman" w:hAnsi="Times New Roman"/>
          <w:sz w:val="28"/>
          <w:szCs w:val="28"/>
          <w:lang w:val="ru-RU" w:eastAsia="ru-RU"/>
        </w:rPr>
        <w:t>m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кількість заходів інвестиційної програми (далі – ІП),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яки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допущено перевищення вартості понад 5 %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329C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16E1B" w:rsidRPr="007329CA" w:rsidRDefault="00916E1B" w:rsidP="000E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329CA">
        <w:rPr>
          <w:rFonts w:ascii="Times New Roman" w:hAnsi="Times New Roman"/>
          <w:sz w:val="28"/>
          <w:szCs w:val="28"/>
          <w:lang w:val="ru-RU" w:eastAsia="ru-RU"/>
        </w:rPr>
        <w:t>Обс</w:t>
      </w:r>
      <w:proofErr w:type="spellEnd"/>
      <w:r w:rsidRPr="007329CA">
        <w:rPr>
          <w:rFonts w:ascii="Times New Roman" w:hAnsi="Times New Roman"/>
          <w:sz w:val="28"/>
          <w:szCs w:val="28"/>
          <w:lang w:val="ru-RU" w:eastAsia="ru-RU"/>
        </w:rPr>
        <w:t xml:space="preserve"> ф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фактично виконаний фізичний обсяг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заход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ІП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329C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16E1B" w:rsidRPr="007329CA" w:rsidRDefault="00916E1B" w:rsidP="000E3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29CA">
        <w:rPr>
          <w:rFonts w:ascii="Times New Roman" w:hAnsi="Times New Roman"/>
          <w:sz w:val="28"/>
          <w:szCs w:val="28"/>
          <w:lang w:val="ru-RU" w:eastAsia="ru-RU"/>
        </w:rPr>
        <w:t>Ц од ф</w:t>
      </w:r>
      <w:r w:rsidRPr="007329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329CA">
        <w:rPr>
          <w:rFonts w:ascii="Times New Roman" w:hAnsi="Times New Roman"/>
          <w:sz w:val="28"/>
          <w:szCs w:val="28"/>
          <w:lang w:eastAsia="ru-RU"/>
        </w:rPr>
        <w:t>фактична ціна одиниці заходу ІП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329C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16E1B" w:rsidRPr="008D4CE4" w:rsidRDefault="00916E1B" w:rsidP="000E3F7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9CA">
        <w:rPr>
          <w:sz w:val="28"/>
          <w:szCs w:val="28"/>
          <w:lang w:val="ru-RU" w:eastAsia="ru-RU"/>
        </w:rPr>
        <w:t xml:space="preserve">Ц од </w:t>
      </w:r>
      <w:proofErr w:type="spellStart"/>
      <w:r w:rsidRPr="007329CA">
        <w:rPr>
          <w:sz w:val="28"/>
          <w:szCs w:val="28"/>
          <w:lang w:val="ru-RU" w:eastAsia="ru-RU"/>
        </w:rPr>
        <w:t>пл</w:t>
      </w:r>
      <w:proofErr w:type="spellEnd"/>
      <w:r w:rsidRPr="007329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>планова ціна одиниці заходу ІП;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від 5 % до 10 %: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655955"/>
            <wp:effectExtent l="0" t="0" r="0" b="0"/>
            <wp:docPr id="2" name="Рисунок 7" descr="Описание: https://zakon.rada.gov.ua/laws/file/imgs/80/p476288n419-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zakon.rada.gov.ua/laws/file/imgs/80/p476288n419-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329CA">
        <w:rPr>
          <w:sz w:val="28"/>
          <w:szCs w:val="28"/>
          <w:lang w:eastAsia="ru-RU"/>
        </w:rPr>
        <w:t xml:space="preserve">де n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 xml:space="preserve">кількість заходів ІП,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яки</w:t>
      </w:r>
      <w:r>
        <w:rPr>
          <w:sz w:val="28"/>
          <w:szCs w:val="28"/>
          <w:lang w:eastAsia="ru-RU"/>
        </w:rPr>
        <w:t>ми</w:t>
      </w:r>
      <w:r w:rsidRPr="007329CA">
        <w:rPr>
          <w:sz w:val="28"/>
          <w:szCs w:val="28"/>
          <w:lang w:eastAsia="ru-RU"/>
        </w:rPr>
        <w:t xml:space="preserve"> допущено перевищення вартості понад 5</w:t>
      </w:r>
      <w:r>
        <w:rPr>
          <w:sz w:val="28"/>
          <w:szCs w:val="28"/>
          <w:lang w:eastAsia="ru-RU"/>
        </w:rPr>
        <w:t> </w:t>
      </w:r>
      <w:r w:rsidRPr="007329CA">
        <w:rPr>
          <w:sz w:val="28"/>
          <w:szCs w:val="28"/>
          <w:lang w:eastAsia="ru-RU"/>
        </w:rPr>
        <w:t>% та в межах 10 %</w:t>
      </w:r>
      <w:r>
        <w:rPr>
          <w:sz w:val="28"/>
          <w:szCs w:val="28"/>
          <w:lang w:eastAsia="ru-RU"/>
        </w:rPr>
        <w:t>;</w:t>
      </w:r>
      <w:r w:rsidRPr="007329CA">
        <w:rPr>
          <w:sz w:val="28"/>
          <w:szCs w:val="28"/>
          <w:lang w:eastAsia="ru-RU"/>
        </w:rPr>
        <w:t xml:space="preserve"> </w:t>
      </w:r>
    </w:p>
    <w:p w:rsidR="00916E1B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329CA">
        <w:rPr>
          <w:sz w:val="28"/>
          <w:szCs w:val="28"/>
          <w:lang w:eastAsia="ru-RU"/>
        </w:rPr>
        <w:t xml:space="preserve">m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 xml:space="preserve">кількість заходів ІП,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яки</w:t>
      </w:r>
      <w:r>
        <w:rPr>
          <w:sz w:val="28"/>
          <w:szCs w:val="28"/>
          <w:lang w:eastAsia="ru-RU"/>
        </w:rPr>
        <w:t>ми</w:t>
      </w:r>
      <w:r w:rsidRPr="007329CA">
        <w:rPr>
          <w:sz w:val="28"/>
          <w:szCs w:val="28"/>
          <w:lang w:eastAsia="ru-RU"/>
        </w:rPr>
        <w:t xml:space="preserve"> допущено перевищення вартості понад 10</w:t>
      </w:r>
      <w:r>
        <w:rPr>
          <w:sz w:val="28"/>
          <w:szCs w:val="28"/>
          <w:lang w:eastAsia="ru-RU"/>
        </w:rPr>
        <w:t> </w:t>
      </w:r>
      <w:r w:rsidRPr="007329CA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;</w:t>
      </w:r>
      <w:r w:rsidRPr="007329CA">
        <w:rPr>
          <w:sz w:val="28"/>
          <w:szCs w:val="28"/>
          <w:lang w:eastAsia="ru-RU"/>
        </w:rPr>
        <w:t xml:space="preserve"> </w:t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329CA">
        <w:rPr>
          <w:sz w:val="28"/>
          <w:szCs w:val="28"/>
          <w:lang w:eastAsia="ru-RU"/>
        </w:rPr>
        <w:t>Обс</w:t>
      </w:r>
      <w:proofErr w:type="spellEnd"/>
      <w:r w:rsidRPr="007329CA">
        <w:rPr>
          <w:sz w:val="28"/>
          <w:szCs w:val="28"/>
          <w:lang w:eastAsia="ru-RU"/>
        </w:rPr>
        <w:t xml:space="preserve"> ф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 xml:space="preserve">фактично виконаний фізичний обсяг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заход</w:t>
      </w:r>
      <w:r>
        <w:rPr>
          <w:sz w:val="28"/>
          <w:szCs w:val="28"/>
          <w:lang w:eastAsia="ru-RU"/>
        </w:rPr>
        <w:t>ом</w:t>
      </w:r>
      <w:r w:rsidRPr="007329CA">
        <w:rPr>
          <w:sz w:val="28"/>
          <w:szCs w:val="28"/>
          <w:lang w:eastAsia="ru-RU"/>
        </w:rPr>
        <w:t xml:space="preserve"> ІП</w:t>
      </w:r>
      <w:r>
        <w:rPr>
          <w:sz w:val="28"/>
          <w:szCs w:val="28"/>
          <w:lang w:eastAsia="ru-RU"/>
        </w:rPr>
        <w:t>;</w:t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329CA">
        <w:rPr>
          <w:sz w:val="28"/>
          <w:szCs w:val="28"/>
          <w:lang w:eastAsia="ru-RU"/>
        </w:rPr>
        <w:t xml:space="preserve">Ц од ф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>фактична ціна одиниці заходу ІП</w:t>
      </w:r>
      <w:r>
        <w:rPr>
          <w:sz w:val="28"/>
          <w:szCs w:val="28"/>
          <w:lang w:eastAsia="ru-RU"/>
        </w:rPr>
        <w:t>;</w:t>
      </w:r>
    </w:p>
    <w:p w:rsidR="00916E1B" w:rsidRPr="008D4CE4" w:rsidRDefault="00916E1B" w:rsidP="0041757F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9CA">
        <w:rPr>
          <w:sz w:val="28"/>
          <w:szCs w:val="28"/>
          <w:lang w:eastAsia="ru-RU"/>
        </w:rPr>
        <w:t xml:space="preserve">Ц од </w:t>
      </w:r>
      <w:proofErr w:type="spellStart"/>
      <w:r w:rsidRPr="007329CA">
        <w:rPr>
          <w:sz w:val="28"/>
          <w:szCs w:val="28"/>
          <w:lang w:eastAsia="ru-RU"/>
        </w:rPr>
        <w:t>пл</w:t>
      </w:r>
      <w:proofErr w:type="spellEnd"/>
      <w:r w:rsidRPr="007329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>планова ціна одиниці заходу ІП;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понад 10 %: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4340" cy="480060"/>
            <wp:effectExtent l="0" t="0" r="0" b="0"/>
            <wp:docPr id="3" name="Рисунок 6" descr="Описание: https://zakon.rada.gov.ua/laws/file/imgs/80/p476288n422-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zakon.rada.gov.ua/laws/file/imgs/80/p476288n422-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329CA">
        <w:rPr>
          <w:sz w:val="28"/>
          <w:szCs w:val="28"/>
          <w:lang w:eastAsia="ru-RU"/>
        </w:rPr>
        <w:t xml:space="preserve">де n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 xml:space="preserve">кількість заходів ІП,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яки</w:t>
      </w:r>
      <w:r>
        <w:rPr>
          <w:sz w:val="28"/>
          <w:szCs w:val="28"/>
          <w:lang w:eastAsia="ru-RU"/>
        </w:rPr>
        <w:t>ми</w:t>
      </w:r>
      <w:r w:rsidRPr="007329CA">
        <w:rPr>
          <w:sz w:val="28"/>
          <w:szCs w:val="28"/>
          <w:lang w:eastAsia="ru-RU"/>
        </w:rPr>
        <w:t xml:space="preserve"> допущено перевищення вартості понад 10 %</w:t>
      </w:r>
      <w:r>
        <w:rPr>
          <w:sz w:val="28"/>
          <w:szCs w:val="28"/>
          <w:lang w:eastAsia="ru-RU"/>
        </w:rPr>
        <w:t>;</w:t>
      </w:r>
      <w:r w:rsidRPr="007329CA">
        <w:rPr>
          <w:sz w:val="28"/>
          <w:szCs w:val="28"/>
          <w:lang w:eastAsia="ru-RU"/>
        </w:rPr>
        <w:t xml:space="preserve"> </w:t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7329CA">
        <w:rPr>
          <w:sz w:val="28"/>
          <w:szCs w:val="28"/>
          <w:lang w:eastAsia="ru-RU"/>
        </w:rPr>
        <w:t>Обс</w:t>
      </w:r>
      <w:proofErr w:type="spellEnd"/>
      <w:r w:rsidRPr="007329CA">
        <w:rPr>
          <w:sz w:val="28"/>
          <w:szCs w:val="28"/>
          <w:lang w:eastAsia="ru-RU"/>
        </w:rPr>
        <w:t xml:space="preserve"> ф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 xml:space="preserve">фактично виконаний фізичний обсяг </w:t>
      </w:r>
      <w:r>
        <w:rPr>
          <w:sz w:val="28"/>
          <w:szCs w:val="28"/>
          <w:lang w:eastAsia="ru-RU"/>
        </w:rPr>
        <w:t>за</w:t>
      </w:r>
      <w:r w:rsidRPr="007329CA">
        <w:rPr>
          <w:sz w:val="28"/>
          <w:szCs w:val="28"/>
          <w:lang w:eastAsia="ru-RU"/>
        </w:rPr>
        <w:t xml:space="preserve"> заход</w:t>
      </w:r>
      <w:r>
        <w:rPr>
          <w:sz w:val="28"/>
          <w:szCs w:val="28"/>
          <w:lang w:eastAsia="ru-RU"/>
        </w:rPr>
        <w:t>ом</w:t>
      </w:r>
      <w:r w:rsidRPr="007329CA">
        <w:rPr>
          <w:sz w:val="28"/>
          <w:szCs w:val="28"/>
          <w:lang w:eastAsia="ru-RU"/>
        </w:rPr>
        <w:t xml:space="preserve"> ІП</w:t>
      </w:r>
      <w:r>
        <w:rPr>
          <w:sz w:val="28"/>
          <w:szCs w:val="28"/>
          <w:lang w:eastAsia="ru-RU"/>
        </w:rPr>
        <w:t>;</w:t>
      </w:r>
    </w:p>
    <w:p w:rsidR="00916E1B" w:rsidRPr="007329CA" w:rsidRDefault="00916E1B" w:rsidP="00E740B3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329CA">
        <w:rPr>
          <w:sz w:val="28"/>
          <w:szCs w:val="28"/>
          <w:lang w:eastAsia="ru-RU"/>
        </w:rPr>
        <w:t xml:space="preserve">Ц од ф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>фактична ціна одиниці заходу ІП</w:t>
      </w:r>
      <w:r>
        <w:rPr>
          <w:sz w:val="28"/>
          <w:szCs w:val="28"/>
          <w:lang w:eastAsia="ru-RU"/>
        </w:rPr>
        <w:t>;</w:t>
      </w:r>
    </w:p>
    <w:p w:rsidR="00916E1B" w:rsidRPr="008D4CE4" w:rsidRDefault="00916E1B" w:rsidP="0041757F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9CA">
        <w:rPr>
          <w:sz w:val="28"/>
          <w:szCs w:val="28"/>
          <w:lang w:eastAsia="ru-RU"/>
        </w:rPr>
        <w:lastRenderedPageBreak/>
        <w:t xml:space="preserve">Ц од </w:t>
      </w:r>
      <w:proofErr w:type="spellStart"/>
      <w:r w:rsidRPr="007329CA">
        <w:rPr>
          <w:sz w:val="28"/>
          <w:szCs w:val="28"/>
          <w:lang w:eastAsia="ru-RU"/>
        </w:rPr>
        <w:t>пл</w:t>
      </w:r>
      <w:proofErr w:type="spellEnd"/>
      <w:r w:rsidRPr="007329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7329CA">
        <w:rPr>
          <w:sz w:val="28"/>
          <w:szCs w:val="28"/>
          <w:lang w:eastAsia="ru-RU"/>
        </w:rPr>
        <w:t>планова ціна одиниці заходу ІП;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5) сума економії коштів при виконанні ІП у звітному році, що розраховується за формулою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5630" cy="406400"/>
            <wp:effectExtent l="0" t="0" r="0" b="0"/>
            <wp:docPr id="4" name="Рисунок 5" descr="Описание: https://zakon.rada.gov.ua/laws/file/imgs/80/p476288n425-3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zakon.rada.gov.ua/laws/file/imgs/80/p476288n425-3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16E1B" w:rsidRPr="0019476C" w:rsidRDefault="00916E1B" w:rsidP="00E7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76C">
        <w:rPr>
          <w:rFonts w:ascii="Times New Roman" w:hAnsi="Times New Roman"/>
          <w:sz w:val="28"/>
          <w:szCs w:val="28"/>
          <w:lang w:eastAsia="ru-RU"/>
        </w:rPr>
        <w:t xml:space="preserve">де n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кількість заходів ІП, </w:t>
      </w:r>
      <w:r>
        <w:rPr>
          <w:rFonts w:ascii="Times New Roman" w:hAnsi="Times New Roman"/>
          <w:sz w:val="28"/>
          <w:szCs w:val="28"/>
          <w:lang w:eastAsia="ru-RU"/>
        </w:rPr>
        <w:t>за якими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 отримано економію та які виконані в межах планових обсягів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19476C" w:rsidRDefault="00916E1B" w:rsidP="00E7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76C">
        <w:rPr>
          <w:rFonts w:ascii="Times New Roman" w:hAnsi="Times New Roman"/>
          <w:sz w:val="28"/>
          <w:szCs w:val="28"/>
          <w:lang w:eastAsia="ru-RU"/>
        </w:rPr>
        <w:t xml:space="preserve">m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кількість заходів ІП, </w:t>
      </w:r>
      <w:r>
        <w:rPr>
          <w:rFonts w:ascii="Times New Roman" w:hAnsi="Times New Roman"/>
          <w:sz w:val="28"/>
          <w:szCs w:val="28"/>
          <w:lang w:eastAsia="ru-RU"/>
        </w:rPr>
        <w:t>за якими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 отримано економію та які виконані в обсягах, що перевищують планові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19476C" w:rsidRDefault="00916E1B" w:rsidP="00E7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476C">
        <w:rPr>
          <w:rFonts w:ascii="Times New Roman" w:hAnsi="Times New Roman"/>
          <w:sz w:val="28"/>
          <w:szCs w:val="28"/>
          <w:lang w:eastAsia="ru-RU"/>
        </w:rPr>
        <w:t>Обс</w:t>
      </w:r>
      <w:proofErr w:type="spellEnd"/>
      <w:r w:rsidRPr="0019476C">
        <w:rPr>
          <w:rFonts w:ascii="Times New Roman" w:hAnsi="Times New Roman"/>
          <w:sz w:val="28"/>
          <w:szCs w:val="28"/>
          <w:lang w:eastAsia="ru-RU"/>
        </w:rPr>
        <w:t xml:space="preserve"> ф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фактично виконаний фізичний обсяг </w:t>
      </w:r>
      <w:r>
        <w:rPr>
          <w:rFonts w:ascii="Times New Roman" w:hAnsi="Times New Roman"/>
          <w:sz w:val="28"/>
          <w:szCs w:val="28"/>
          <w:lang w:eastAsia="ru-RU"/>
        </w:rPr>
        <w:t>за заходом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 ІП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19476C" w:rsidRDefault="00916E1B" w:rsidP="00E7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476C">
        <w:rPr>
          <w:rFonts w:ascii="Times New Roman" w:hAnsi="Times New Roman"/>
          <w:sz w:val="28"/>
          <w:szCs w:val="28"/>
          <w:lang w:eastAsia="ru-RU"/>
        </w:rPr>
        <w:t>Обс</w:t>
      </w:r>
      <w:proofErr w:type="spellEnd"/>
      <w:r w:rsidRPr="001947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476C">
        <w:rPr>
          <w:rFonts w:ascii="Times New Roman" w:hAnsi="Times New Roman"/>
          <w:sz w:val="28"/>
          <w:szCs w:val="28"/>
          <w:lang w:eastAsia="ru-RU"/>
        </w:rPr>
        <w:t>пл</w:t>
      </w:r>
      <w:proofErr w:type="spellEnd"/>
      <w:r w:rsidRPr="001947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плановий фізичний обсяг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 заход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9476C">
        <w:rPr>
          <w:rFonts w:ascii="Times New Roman" w:hAnsi="Times New Roman"/>
          <w:sz w:val="28"/>
          <w:szCs w:val="28"/>
          <w:lang w:eastAsia="ru-RU"/>
        </w:rPr>
        <w:t xml:space="preserve"> ІП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19476C" w:rsidRDefault="00916E1B" w:rsidP="00E7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76C">
        <w:rPr>
          <w:rFonts w:ascii="Times New Roman" w:hAnsi="Times New Roman"/>
          <w:sz w:val="28"/>
          <w:szCs w:val="28"/>
          <w:lang w:eastAsia="ru-RU"/>
        </w:rPr>
        <w:t xml:space="preserve">Ц од ф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476C">
        <w:rPr>
          <w:rFonts w:ascii="Times New Roman" w:hAnsi="Times New Roman"/>
          <w:sz w:val="28"/>
          <w:szCs w:val="28"/>
          <w:lang w:eastAsia="ru-RU"/>
        </w:rPr>
        <w:t>фактична ціна одиниці заходу ІП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8D4CE4" w:rsidRDefault="00916E1B" w:rsidP="00E740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76C">
        <w:rPr>
          <w:sz w:val="28"/>
          <w:szCs w:val="28"/>
          <w:lang w:eastAsia="ru-RU"/>
        </w:rPr>
        <w:t xml:space="preserve">Ц од </w:t>
      </w:r>
      <w:proofErr w:type="spellStart"/>
      <w:r w:rsidRPr="0019476C">
        <w:rPr>
          <w:sz w:val="28"/>
          <w:szCs w:val="28"/>
          <w:lang w:eastAsia="ru-RU"/>
        </w:rPr>
        <w:t>пл</w:t>
      </w:r>
      <w:proofErr w:type="spellEnd"/>
      <w:r>
        <w:rPr>
          <w:sz w:val="28"/>
          <w:szCs w:val="28"/>
          <w:lang w:eastAsia="ru-RU"/>
        </w:rPr>
        <w:t xml:space="preserve"> –</w:t>
      </w:r>
      <w:r w:rsidRPr="0019476C">
        <w:rPr>
          <w:sz w:val="28"/>
          <w:szCs w:val="28"/>
          <w:lang w:eastAsia="ru-RU"/>
        </w:rPr>
        <w:t xml:space="preserve"> планова ціна одиниці заходу ІП.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Фактичні фізичні обсяги виконаних заходів мають відповідати плановим показникам, а у разі перевищення фізичних обсягів розрахунок економії здійснюється виходячи з планового показника. Для лінійних об’єктів електричних мереж 0,4</w:t>
      </w:r>
      <w:r>
        <w:rPr>
          <w:sz w:val="28"/>
          <w:szCs w:val="28"/>
        </w:rPr>
        <w:t xml:space="preserve"> – </w:t>
      </w:r>
      <w:r w:rsidRPr="008D4CE4">
        <w:rPr>
          <w:sz w:val="28"/>
          <w:szCs w:val="28"/>
        </w:rPr>
        <w:t>20 кВ допустимі випадки відхилення не більше ніж ±</w:t>
      </w:r>
      <w:r>
        <w:rPr>
          <w:sz w:val="28"/>
          <w:szCs w:val="28"/>
        </w:rPr>
        <w:t> </w:t>
      </w:r>
      <w:r w:rsidRPr="008D4CE4">
        <w:rPr>
          <w:sz w:val="28"/>
          <w:szCs w:val="28"/>
        </w:rPr>
        <w:t xml:space="preserve">5 % від схвалених фізичних обсягів з відповідним внесенням змін до </w:t>
      </w:r>
      <w:proofErr w:type="spellStart"/>
      <w:r w:rsidRPr="008D4CE4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8D4CE4">
        <w:rPr>
          <w:sz w:val="28"/>
          <w:szCs w:val="28"/>
        </w:rPr>
        <w:t>ктно</w:t>
      </w:r>
      <w:proofErr w:type="spellEnd"/>
      <w:r w:rsidRPr="008D4CE4">
        <w:rPr>
          <w:sz w:val="28"/>
          <w:szCs w:val="28"/>
        </w:rPr>
        <w:t>-кошторисної документації.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Сума економії зменшується на суму об’єктивного перевищення вартості заходів (до 5 %) у розрізі заходів у межах кожного розділу;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6) рівень розрахунків з Державним підприємством «Енергоринок» (далі</w:t>
      </w:r>
      <w:r>
        <w:rPr>
          <w:sz w:val="28"/>
          <w:szCs w:val="28"/>
        </w:rPr>
        <w:t> –</w:t>
      </w:r>
      <w:r w:rsidRPr="008D4CE4">
        <w:rPr>
          <w:sz w:val="28"/>
          <w:szCs w:val="28"/>
        </w:rPr>
        <w:t xml:space="preserve"> ДП «Енергоринок») за куповану у 2019 році електричну енергію станом на 01 січня 2020 року. </w:t>
      </w:r>
      <w:r>
        <w:rPr>
          <w:sz w:val="28"/>
          <w:szCs w:val="28"/>
        </w:rPr>
        <w:t>У</w:t>
      </w:r>
      <w:r w:rsidRPr="008D4CE4">
        <w:rPr>
          <w:sz w:val="28"/>
          <w:szCs w:val="28"/>
        </w:rPr>
        <w:t xml:space="preserve"> подальшому фіксується рівень заборгованості перед ДП «Енергоринок» станом на початок та кінець звітного року;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7) сума недоплати постачальником «останньої надії» за послуги з розподілу електричної енергії у звітному році станом на 01 січня року, наступного за звітним;</w:t>
      </w:r>
    </w:p>
    <w:p w:rsidR="00661A03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1A03" w:rsidRPr="00661A03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03">
        <w:rPr>
          <w:rStyle w:val="st42"/>
          <w:sz w:val="28"/>
          <w:szCs w:val="28"/>
        </w:rPr>
        <w:t>8)</w:t>
      </w:r>
      <w:r>
        <w:rPr>
          <w:rStyle w:val="st42"/>
        </w:rPr>
        <w:t xml:space="preserve"> </w:t>
      </w:r>
      <w:r w:rsidRPr="00661A03">
        <w:rPr>
          <w:rStyle w:val="st42"/>
          <w:sz w:val="28"/>
          <w:szCs w:val="28"/>
        </w:rPr>
        <w:t>різниця між сумою нарахувань за звітний рік за послуги з розподілу електричної енергії для споживачів, електричну енергію для яких постачає постачальник «останньої надії», та сумою коштів, сплаченою постачальником «останньої надії» за розподіл електричної енергії ОСР протягом звітного періоду;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6E1B" w:rsidRPr="008D4CE4">
        <w:rPr>
          <w:sz w:val="28"/>
          <w:szCs w:val="28"/>
        </w:rPr>
        <w:t xml:space="preserve">) додатково отриманий (недоотриманий) дохід за </w:t>
      </w:r>
      <w:proofErr w:type="spellStart"/>
      <w:r w:rsidR="00916E1B" w:rsidRPr="008D4CE4">
        <w:rPr>
          <w:sz w:val="28"/>
          <w:szCs w:val="28"/>
        </w:rPr>
        <w:t>перетоки</w:t>
      </w:r>
      <w:proofErr w:type="spellEnd"/>
      <w:r w:rsidR="00916E1B" w:rsidRPr="008D4CE4">
        <w:rPr>
          <w:sz w:val="28"/>
          <w:szCs w:val="28"/>
        </w:rPr>
        <w:t xml:space="preserve"> реактивної електричної </w:t>
      </w:r>
      <w:r w:rsidR="00916E1B">
        <w:rPr>
          <w:sz w:val="28"/>
          <w:szCs w:val="28"/>
        </w:rPr>
        <w:t xml:space="preserve">енергії </w:t>
      </w:r>
      <w:r w:rsidR="00916E1B" w:rsidRPr="008D4CE4">
        <w:rPr>
          <w:sz w:val="28"/>
          <w:szCs w:val="28"/>
        </w:rPr>
        <w:t>(</w:t>
      </w:r>
      <w:proofErr w:type="spellStart"/>
      <w:r w:rsidR="00916E1B" w:rsidRPr="008D4CE4">
        <w:rPr>
          <w:sz w:val="28"/>
          <w:szCs w:val="28"/>
        </w:rPr>
        <w:t>Др</w:t>
      </w:r>
      <w:proofErr w:type="spellEnd"/>
      <w:r w:rsidR="00916E1B" w:rsidRPr="008D4CE4">
        <w:rPr>
          <w:sz w:val="28"/>
          <w:szCs w:val="28"/>
        </w:rPr>
        <w:t>), який розраховується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sz w:val="28"/>
          <w:szCs w:val="28"/>
        </w:rPr>
      </w:pPr>
      <w:proofErr w:type="spellStart"/>
      <w:r w:rsidRPr="008D4CE4">
        <w:rPr>
          <w:rStyle w:val="rvts9"/>
          <w:bCs/>
          <w:sz w:val="28"/>
          <w:szCs w:val="28"/>
        </w:rPr>
        <w:t>Др</w:t>
      </w:r>
      <w:proofErr w:type="spellEnd"/>
      <w:r w:rsidRPr="008D4CE4">
        <w:rPr>
          <w:rStyle w:val="rvts9"/>
          <w:bCs/>
          <w:sz w:val="28"/>
          <w:szCs w:val="28"/>
        </w:rPr>
        <w:t xml:space="preserve"> = </w:t>
      </w:r>
      <w:proofErr w:type="spellStart"/>
      <w:r w:rsidRPr="008D4CE4">
        <w:rPr>
          <w:rStyle w:val="rvts9"/>
          <w:bCs/>
          <w:sz w:val="28"/>
          <w:szCs w:val="28"/>
        </w:rPr>
        <w:t>Др</w:t>
      </w:r>
      <w:proofErr w:type="spellEnd"/>
      <w:r>
        <w:rPr>
          <w:rStyle w:val="rvts9"/>
          <w:bCs/>
          <w:sz w:val="28"/>
          <w:szCs w:val="28"/>
        </w:rPr>
        <w:t xml:space="preserve"> </w:t>
      </w:r>
      <w:r w:rsidRPr="008D4CE4">
        <w:rPr>
          <w:rStyle w:val="rvts9"/>
          <w:bCs/>
          <w:sz w:val="28"/>
          <w:szCs w:val="28"/>
        </w:rPr>
        <w:t xml:space="preserve">(факт) - </w:t>
      </w:r>
      <w:proofErr w:type="spellStart"/>
      <w:r w:rsidRPr="008D4CE4">
        <w:rPr>
          <w:rStyle w:val="rvts9"/>
          <w:bCs/>
          <w:sz w:val="28"/>
          <w:szCs w:val="28"/>
        </w:rPr>
        <w:t>Др</w:t>
      </w:r>
      <w:proofErr w:type="spellEnd"/>
      <w:r w:rsidRPr="008D4CE4">
        <w:rPr>
          <w:rStyle w:val="rvts9"/>
          <w:bCs/>
          <w:sz w:val="28"/>
          <w:szCs w:val="28"/>
        </w:rPr>
        <w:t xml:space="preserve"> ІП,</w:t>
      </w:r>
    </w:p>
    <w:p w:rsidR="00916E1B" w:rsidRDefault="00916E1B" w:rsidP="007543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B5E">
        <w:rPr>
          <w:rFonts w:ascii="Times New Roman" w:hAnsi="Times New Roman"/>
          <w:sz w:val="28"/>
          <w:szCs w:val="28"/>
        </w:rPr>
        <w:lastRenderedPageBreak/>
        <w:t xml:space="preserve">де </w:t>
      </w:r>
      <w:proofErr w:type="spellStart"/>
      <w:r w:rsidRPr="00951B5E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 w:rsidRPr="00951B5E">
        <w:rPr>
          <w:rFonts w:ascii="Times New Roman" w:hAnsi="Times New Roman"/>
          <w:sz w:val="28"/>
          <w:szCs w:val="28"/>
          <w:lang w:eastAsia="ru-RU"/>
        </w:rPr>
        <w:t xml:space="preserve"> (факт) – сума фактичного доходу за </w:t>
      </w:r>
      <w:proofErr w:type="spellStart"/>
      <w:r w:rsidRPr="00951B5E">
        <w:rPr>
          <w:rFonts w:ascii="Times New Roman" w:hAnsi="Times New Roman"/>
          <w:sz w:val="28"/>
          <w:szCs w:val="28"/>
          <w:lang w:eastAsia="ru-RU"/>
        </w:rPr>
        <w:t>перетоки</w:t>
      </w:r>
      <w:proofErr w:type="spellEnd"/>
      <w:r w:rsidRPr="00951B5E">
        <w:rPr>
          <w:rFonts w:ascii="Times New Roman" w:hAnsi="Times New Roman"/>
          <w:sz w:val="28"/>
          <w:szCs w:val="28"/>
          <w:lang w:eastAsia="ru-RU"/>
        </w:rPr>
        <w:t xml:space="preserve"> реактивної електричної енергії за даними форми звітності № 2-НКРЕКП-розподіл електричної енергії;</w:t>
      </w:r>
    </w:p>
    <w:p w:rsidR="00916E1B" w:rsidRPr="007543A0" w:rsidRDefault="00916E1B" w:rsidP="007543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1B5E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 w:rsidRPr="00951B5E">
        <w:rPr>
          <w:rFonts w:ascii="Times New Roman" w:hAnsi="Times New Roman"/>
          <w:sz w:val="28"/>
          <w:szCs w:val="28"/>
          <w:lang w:eastAsia="ru-RU"/>
        </w:rPr>
        <w:t xml:space="preserve"> ІП – розмір доходу за </w:t>
      </w:r>
      <w:proofErr w:type="spellStart"/>
      <w:r w:rsidRPr="00951B5E">
        <w:rPr>
          <w:rFonts w:ascii="Times New Roman" w:hAnsi="Times New Roman"/>
          <w:sz w:val="28"/>
          <w:szCs w:val="28"/>
          <w:lang w:eastAsia="ru-RU"/>
        </w:rPr>
        <w:t>перетоки</w:t>
      </w:r>
      <w:proofErr w:type="spellEnd"/>
      <w:r w:rsidRPr="00951B5E">
        <w:rPr>
          <w:rFonts w:ascii="Times New Roman" w:hAnsi="Times New Roman"/>
          <w:sz w:val="28"/>
          <w:szCs w:val="28"/>
          <w:lang w:eastAsia="ru-RU"/>
        </w:rPr>
        <w:t xml:space="preserve"> реактивної електричної енергії за звітний рік,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51B5E">
        <w:rPr>
          <w:rFonts w:ascii="Times New Roman" w:hAnsi="Times New Roman"/>
          <w:sz w:val="28"/>
          <w:szCs w:val="28"/>
          <w:lang w:eastAsia="ru-RU"/>
        </w:rPr>
        <w:t>рахований як джерело фінансування інвестиційної програми;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AA0280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st42"/>
          <w:sz w:val="28"/>
          <w:szCs w:val="28"/>
        </w:rPr>
      </w:pPr>
      <w:r>
        <w:rPr>
          <w:sz w:val="28"/>
          <w:szCs w:val="28"/>
        </w:rPr>
        <w:t>10</w:t>
      </w:r>
      <w:r w:rsidR="00916E1B" w:rsidRPr="008D4CE4">
        <w:rPr>
          <w:sz w:val="28"/>
          <w:szCs w:val="28"/>
        </w:rPr>
        <w:t xml:space="preserve">) </w:t>
      </w:r>
      <w:r w:rsidR="00AA0280" w:rsidRPr="00AA0280">
        <w:rPr>
          <w:rStyle w:val="st42"/>
          <w:sz w:val="28"/>
          <w:szCs w:val="28"/>
        </w:rPr>
        <w:t>величина дефіциту або профіциту коштів у частині надходжень та витрат, пов'язаних з наданням послуг з приєднання електроустановок замовників до електричних мереж, що надані у звітному періоді (за календарний рік), яка визначається відповідно до методики (порядку) формування плати за приєднання до системи передачі та системи розподілу і підтверджується звітністю та первинними документами;</w:t>
      </w:r>
    </w:p>
    <w:p w:rsidR="00AA0280" w:rsidRPr="008D4CE4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1</w:t>
      </w:r>
      <w:r w:rsidR="00661A03">
        <w:rPr>
          <w:sz w:val="28"/>
          <w:szCs w:val="28"/>
        </w:rPr>
        <w:t>1</w:t>
      </w:r>
      <w:r w:rsidRPr="008D4CE4">
        <w:rPr>
          <w:sz w:val="28"/>
          <w:szCs w:val="28"/>
        </w:rPr>
        <w:t>) штрафні санкції за несвоєчасну оплату купованої до 01 липня 2019</w:t>
      </w:r>
      <w:r>
        <w:rPr>
          <w:sz w:val="28"/>
          <w:szCs w:val="28"/>
        </w:rPr>
        <w:t> </w:t>
      </w:r>
      <w:r w:rsidRPr="008D4CE4">
        <w:rPr>
          <w:sz w:val="28"/>
          <w:szCs w:val="28"/>
        </w:rPr>
        <w:t>року електричної енергії в ДП «Енергоринок», сплачені ліцензіатом у звітному році;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280" w:rsidRPr="00AA0280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280">
        <w:rPr>
          <w:rStyle w:val="st42"/>
          <w:sz w:val="28"/>
          <w:szCs w:val="28"/>
        </w:rPr>
        <w:t>12) сума коригування необхідного доходу відповідно до даних виконання цільового завдання щодо досягнення показників якості послуг у звітному році визначена згідно з пунктом 7.24 глави 7 Порядку встановлення (формування) тарифів на послуги з розподілу електричної енергії, затвердженого постановою НКРЕКП від 05 жовтня 2018 року № 1175 (далі - Порядок № 1175);</w:t>
      </w:r>
    </w:p>
    <w:p w:rsidR="00AA0280" w:rsidRPr="008D4CE4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1</w:t>
      </w:r>
      <w:r w:rsidR="00AA0280">
        <w:rPr>
          <w:sz w:val="28"/>
          <w:szCs w:val="28"/>
        </w:rPr>
        <w:t>3</w:t>
      </w:r>
      <w:r w:rsidRPr="008D4CE4">
        <w:rPr>
          <w:sz w:val="28"/>
          <w:szCs w:val="28"/>
        </w:rPr>
        <w:t>) сума сплаченого податку на прибуток у звітному році в частині здійснення ліцензованої діяльності з розподілу електричної енергії, який обраховується як добуток між обсягом сплаченого податку на прибуток у звітному році відповідно до платіжних доручень та співвідношенням між фактичними операційними витратами на розподіл електричної енергії та сумарними операційними витратами за даними </w:t>
      </w:r>
      <w:r w:rsidRPr="00893F20">
        <w:rPr>
          <w:sz w:val="28"/>
          <w:szCs w:val="28"/>
        </w:rPr>
        <w:t xml:space="preserve">форми звітності </w:t>
      </w:r>
      <w:r>
        <w:rPr>
          <w:sz w:val="28"/>
          <w:szCs w:val="28"/>
        </w:rPr>
        <w:br/>
      </w:r>
      <w:r w:rsidRPr="00893F20">
        <w:rPr>
          <w:sz w:val="28"/>
          <w:szCs w:val="28"/>
        </w:rPr>
        <w:t>№ 2-НКРЕКП-розподіл електричної енергії</w:t>
      </w:r>
      <w:r w:rsidRPr="008D4CE4">
        <w:rPr>
          <w:sz w:val="28"/>
          <w:szCs w:val="28"/>
        </w:rPr>
        <w:t> (за IV квартал);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1</w:t>
      </w:r>
      <w:r w:rsidR="00AA0280">
        <w:rPr>
          <w:sz w:val="28"/>
          <w:szCs w:val="28"/>
        </w:rPr>
        <w:t>4</w:t>
      </w:r>
      <w:r w:rsidRPr="008D4CE4">
        <w:rPr>
          <w:sz w:val="28"/>
          <w:szCs w:val="28"/>
        </w:rPr>
        <w:t>) сума недофінансування статей витрат структури тарифів у звітному році з урахуванням витрат, які були капіталізовані за бухгалтерським обліком;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280">
        <w:rPr>
          <w:sz w:val="28"/>
          <w:szCs w:val="28"/>
        </w:rPr>
        <w:t>5</w:t>
      </w:r>
      <w:r w:rsidR="00916E1B" w:rsidRPr="008D4CE4">
        <w:rPr>
          <w:sz w:val="28"/>
          <w:szCs w:val="28"/>
        </w:rPr>
        <w:t>) сума обґрунтованих перевитрат статей витрат структури тарифів у звітному році з урахуванням витрат, які були капіталізовані за бухгалтерським обліком;</w:t>
      </w:r>
    </w:p>
    <w:p w:rsidR="00AA0280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0280" w:rsidRPr="00AA0280" w:rsidRDefault="00AA0280" w:rsidP="00AA0280">
      <w:pPr>
        <w:pStyle w:val="st2"/>
        <w:rPr>
          <w:rStyle w:val="st42"/>
          <w:sz w:val="28"/>
          <w:szCs w:val="28"/>
        </w:rPr>
      </w:pPr>
      <w:r w:rsidRPr="00AA0280">
        <w:rPr>
          <w:rStyle w:val="st42"/>
          <w:sz w:val="28"/>
          <w:szCs w:val="28"/>
        </w:rPr>
        <w:t>16) кількість умовних одиниць у розрізі класів напруги на початок звітного періоду;</w:t>
      </w:r>
    </w:p>
    <w:p w:rsidR="00AA0280" w:rsidRPr="00AA0280" w:rsidRDefault="00AA0280" w:rsidP="00AA028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42"/>
          <w:sz w:val="28"/>
          <w:szCs w:val="28"/>
        </w:rPr>
        <w:t xml:space="preserve">      </w:t>
      </w:r>
      <w:r w:rsidRPr="00AA0280">
        <w:rPr>
          <w:rStyle w:val="st42"/>
          <w:sz w:val="28"/>
          <w:szCs w:val="28"/>
        </w:rPr>
        <w:t>17) кількість умовних одиниць у розрізі класів напруги на кінець звітного періоду;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916E1B" w:rsidRPr="008D4CE4">
        <w:rPr>
          <w:sz w:val="28"/>
          <w:szCs w:val="28"/>
        </w:rPr>
        <w:t xml:space="preserve">) додатково отриманий (недоотриманий) дохід ліцензіата внаслідок збільшення (зменшення) фактичних обсягів розподілу електричної енергії  ліцензіатів порівняно з обсягами розподілу електричної енергії  ліцензіатів, </w:t>
      </w:r>
      <w:r w:rsidR="00916E1B">
        <w:rPr>
          <w:sz w:val="28"/>
          <w:szCs w:val="28"/>
        </w:rPr>
        <w:t>у</w:t>
      </w:r>
      <w:r w:rsidR="00916E1B" w:rsidRPr="008D4CE4">
        <w:rPr>
          <w:sz w:val="28"/>
          <w:szCs w:val="28"/>
        </w:rPr>
        <w:t xml:space="preserve">рахованими </w:t>
      </w:r>
      <w:r w:rsidR="00916E1B">
        <w:rPr>
          <w:sz w:val="28"/>
          <w:szCs w:val="28"/>
        </w:rPr>
        <w:t>в</w:t>
      </w:r>
      <w:r w:rsidR="00916E1B" w:rsidRPr="008D4CE4">
        <w:rPr>
          <w:sz w:val="28"/>
          <w:szCs w:val="28"/>
        </w:rPr>
        <w:t xml:space="preserve"> затвердженій структурі тарифів на послуги з розподілу електричної енергії. Такий дохід визначається на підставі фактичного обсягу розподілу електричної енергії у звітному році (за даними </w:t>
      </w:r>
      <w:r w:rsidR="00916E1B" w:rsidRPr="00893F20">
        <w:rPr>
          <w:sz w:val="28"/>
          <w:szCs w:val="28"/>
        </w:rPr>
        <w:t>форми звітності № 2-НКРЕКП-розподіл електричної енергії</w:t>
      </w:r>
      <w:r w:rsidR="00916E1B" w:rsidRPr="008D4CE4">
        <w:rPr>
          <w:sz w:val="28"/>
          <w:szCs w:val="28"/>
        </w:rPr>
        <w:t> та затверджених рівнів тарифів на послуги з розподілу електричної енергії, які діяли у відповідні періоди звітного року);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6E1B" w:rsidRPr="008D4CE4">
        <w:rPr>
          <w:sz w:val="28"/>
          <w:szCs w:val="28"/>
        </w:rPr>
        <w:t>) фактичні обсяги електричної енергії та її вартість для компенсації технологічних витрат електричної енергії на її розподіл, купованої згідно з </w:t>
      </w:r>
      <w:r w:rsidR="00916E1B" w:rsidRPr="00893F20">
        <w:rPr>
          <w:rStyle w:val="a4"/>
          <w:color w:val="auto"/>
          <w:sz w:val="28"/>
          <w:szCs w:val="28"/>
          <w:u w:val="none"/>
        </w:rPr>
        <w:t>Положенням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</w:t>
      </w:r>
      <w:r w:rsidR="00916E1B" w:rsidRPr="008D4CE4">
        <w:rPr>
          <w:sz w:val="28"/>
          <w:szCs w:val="28"/>
        </w:rPr>
        <w:t xml:space="preserve">, затвердженим постановою Кабінету Міністрів України від 05 червня 2019 року № 483 (далі </w:t>
      </w:r>
      <w:r w:rsidR="00916E1B">
        <w:rPr>
          <w:sz w:val="28"/>
          <w:szCs w:val="28"/>
        </w:rPr>
        <w:t>–</w:t>
      </w:r>
      <w:r w:rsidR="00916E1B" w:rsidRPr="008D4CE4">
        <w:rPr>
          <w:sz w:val="28"/>
          <w:szCs w:val="28"/>
        </w:rPr>
        <w:t xml:space="preserve"> Положення № 483), на ринку «на добу наперед», внутрішньодобовому ринку, балансуючому ринку, ринку двосторонніх договорів тощо. Розрахунок здійснюється за звітний рік помісячно;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AA0280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6E1B" w:rsidRPr="008D4CE4">
        <w:rPr>
          <w:sz w:val="28"/>
          <w:szCs w:val="28"/>
        </w:rPr>
        <w:t>) дохід, отриманий у звітному році від надання в оренду/суборенду основних засобів (активів), які належать до основної діяльності ліцензіата;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280">
        <w:rPr>
          <w:sz w:val="28"/>
          <w:szCs w:val="28"/>
        </w:rPr>
        <w:t>1</w:t>
      </w:r>
      <w:r w:rsidR="00916E1B" w:rsidRPr="008D4CE4">
        <w:rPr>
          <w:sz w:val="28"/>
          <w:szCs w:val="28"/>
        </w:rPr>
        <w:t xml:space="preserve">) дохід, отриманий у звітному році від плати за доступ до елементів інфраструктури об’єктів електроенергетики; 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866">
        <w:rPr>
          <w:sz w:val="28"/>
          <w:szCs w:val="28"/>
        </w:rPr>
        <w:t>2</w:t>
      </w:r>
      <w:r w:rsidR="00AA0280">
        <w:rPr>
          <w:sz w:val="28"/>
          <w:szCs w:val="28"/>
        </w:rPr>
        <w:t>2</w:t>
      </w:r>
      <w:r w:rsidRPr="004A4866">
        <w:rPr>
          <w:sz w:val="28"/>
          <w:szCs w:val="28"/>
        </w:rPr>
        <w:t>) дохід від</w:t>
      </w:r>
      <w:r w:rsidRPr="008D4CE4">
        <w:rPr>
          <w:sz w:val="28"/>
          <w:szCs w:val="28"/>
        </w:rPr>
        <w:t xml:space="preserve"> економії технологічних витрат електричної енергії (Д</w:t>
      </w:r>
      <w:r w:rsidRPr="008D4CE4">
        <w:rPr>
          <w:rStyle w:val="rvts40"/>
          <w:bCs/>
          <w:sz w:val="28"/>
          <w:szCs w:val="28"/>
          <w:vertAlign w:val="subscript"/>
        </w:rPr>
        <w:t>ТВЕ</w:t>
      </w:r>
      <w:r w:rsidRPr="008D4CE4">
        <w:rPr>
          <w:sz w:val="28"/>
          <w:szCs w:val="28"/>
        </w:rPr>
        <w:t>) за підсумками звітного року, що розраховується за формулою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3630" cy="424815"/>
            <wp:effectExtent l="0" t="0" r="0" b="0"/>
            <wp:docPr id="5" name="Рисунок 16" descr="Описание: https://zakon.rada.gov.ua/laws/file/imgs/80/p476288n446-4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zakon.rada.gov.ua/laws/file/imgs/80/p476288n446-4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41757F" w:rsidRDefault="00916E1B" w:rsidP="001121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65">
        <w:rPr>
          <w:rFonts w:ascii="Times New Roman" w:hAnsi="Times New Roman"/>
          <w:sz w:val="28"/>
          <w:szCs w:val="28"/>
        </w:rPr>
        <w:t xml:space="preserve">де </w:t>
      </w:r>
      <w:r w:rsidRPr="0041757F">
        <w:rPr>
          <w:rFonts w:ascii="Times New Roman" w:hAnsi="Times New Roman"/>
          <w:sz w:val="28"/>
          <w:szCs w:val="28"/>
          <w:lang w:eastAsia="ru-RU"/>
        </w:rPr>
        <w:t>і</w:t>
      </w:r>
      <w:r w:rsidRPr="004D62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D6265">
        <w:rPr>
          <w:rFonts w:ascii="Times New Roman" w:hAnsi="Times New Roman"/>
          <w:sz w:val="28"/>
          <w:szCs w:val="28"/>
          <w:lang w:eastAsia="ru-RU"/>
        </w:rPr>
        <w:t>місяць;</w:t>
      </w:r>
      <w:r w:rsidRPr="004175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E1B" w:rsidRDefault="00916E1B" w:rsidP="001121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265">
        <w:rPr>
          <w:rFonts w:ascii="Times New Roman" w:hAnsi="Times New Roman"/>
          <w:sz w:val="28"/>
          <w:szCs w:val="28"/>
          <w:lang w:val="ru-RU" w:eastAsia="ru-RU"/>
        </w:rPr>
        <w:t>n</w:t>
      </w:r>
      <w:r w:rsidRPr="004D62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D6265">
        <w:rPr>
          <w:rFonts w:ascii="Times New Roman" w:hAnsi="Times New Roman"/>
          <w:sz w:val="28"/>
          <w:szCs w:val="28"/>
          <w:lang w:eastAsia="ru-RU"/>
        </w:rPr>
        <w:t xml:space="preserve">кількість місяців; </w:t>
      </w:r>
    </w:p>
    <w:p w:rsidR="00916E1B" w:rsidRDefault="00916E1B" w:rsidP="001121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57F">
        <w:rPr>
          <w:rFonts w:ascii="Times New Roman" w:hAnsi="Times New Roman"/>
          <w:sz w:val="28"/>
          <w:szCs w:val="28"/>
          <w:lang w:eastAsia="ru-RU"/>
        </w:rPr>
        <w:t>Д</w:t>
      </w:r>
      <w:r w:rsidRPr="0041757F">
        <w:rPr>
          <w:rStyle w:val="rvts40"/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ТВЕ </w:t>
      </w:r>
      <w:r w:rsidRPr="004D626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6265">
        <w:rPr>
          <w:rFonts w:ascii="Times New Roman" w:hAnsi="Times New Roman"/>
          <w:sz w:val="28"/>
          <w:szCs w:val="28"/>
          <w:lang w:eastAsia="ru-RU"/>
        </w:rPr>
        <w:t xml:space="preserve">нормативно-фактична вартість технологічних витрат електричної енергії, розрахованих за фактичним балансом електричної енергії та економічними коефіцієнтами прогнозованих технологічних витрат електричної енергії в і-му місяці звітного року, тис. грн; 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57F">
        <w:rPr>
          <w:sz w:val="28"/>
          <w:szCs w:val="28"/>
          <w:lang w:eastAsia="ru-RU"/>
        </w:rPr>
        <w:t>Д</w:t>
      </w:r>
      <w:r w:rsidRPr="0041757F">
        <w:rPr>
          <w:rStyle w:val="rvts40"/>
          <w:bCs/>
          <w:sz w:val="28"/>
          <w:szCs w:val="28"/>
          <w:vertAlign w:val="subscript"/>
          <w:lang w:eastAsia="ru-RU"/>
        </w:rPr>
        <w:t>ТВЕ ф і</w:t>
      </w:r>
      <w:r w:rsidRPr="004D62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4D6265">
        <w:rPr>
          <w:sz w:val="28"/>
          <w:szCs w:val="28"/>
          <w:lang w:eastAsia="ru-RU"/>
        </w:rPr>
        <w:t>фактична вартість технологічних витрат електричної енергії на її розподіл в і-му місяці звітного року, тис. грн.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До впровадження нового ринку електричної енергії (до 01 липня 2019</w:t>
      </w:r>
      <w:r>
        <w:rPr>
          <w:sz w:val="28"/>
          <w:szCs w:val="28"/>
        </w:rPr>
        <w:t> </w:t>
      </w:r>
      <w:r w:rsidRPr="008D4CE4">
        <w:rPr>
          <w:sz w:val="28"/>
          <w:szCs w:val="28"/>
        </w:rPr>
        <w:t>року) Д</w:t>
      </w:r>
      <w:r w:rsidRPr="008D4CE4">
        <w:rPr>
          <w:rStyle w:val="rvts40"/>
          <w:bCs/>
          <w:sz w:val="28"/>
          <w:szCs w:val="28"/>
          <w:vertAlign w:val="subscript"/>
        </w:rPr>
        <w:t xml:space="preserve">ТВЕ </w:t>
      </w:r>
      <w:proofErr w:type="spellStart"/>
      <w:r w:rsidRPr="008D4CE4">
        <w:rPr>
          <w:rStyle w:val="rvts40"/>
          <w:bCs/>
          <w:sz w:val="28"/>
          <w:szCs w:val="28"/>
          <w:vertAlign w:val="subscript"/>
        </w:rPr>
        <w:t>нф</w:t>
      </w:r>
      <w:proofErr w:type="spellEnd"/>
      <w:r w:rsidRPr="008D4CE4">
        <w:rPr>
          <w:rStyle w:val="rvts40"/>
          <w:bCs/>
          <w:sz w:val="28"/>
          <w:szCs w:val="28"/>
          <w:vertAlign w:val="subscript"/>
        </w:rPr>
        <w:t xml:space="preserve"> і </w:t>
      </w:r>
      <w:r w:rsidRPr="008D4CE4">
        <w:rPr>
          <w:sz w:val="28"/>
          <w:szCs w:val="28"/>
        </w:rPr>
        <w:t>розраховується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985" cy="304800"/>
            <wp:effectExtent l="0" t="0" r="0" b="0"/>
            <wp:docPr id="6" name="Рисунок 20" descr="Описание: https://zakon.rada.gov.ua/laws/file/imgs/80/p476288n449-6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zakon.rada.gov.ua/laws/file/imgs/80/p476288n449-6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41757F" w:rsidRDefault="00916E1B" w:rsidP="00DB75AC">
      <w:pPr>
        <w:spacing w:after="0"/>
        <w:ind w:firstLine="709"/>
        <w:jc w:val="both"/>
        <w:rPr>
          <w:rStyle w:val="rvts9"/>
          <w:rFonts w:ascii="Times New Roman" w:hAnsi="Times New Roman"/>
          <w:bCs/>
          <w:sz w:val="28"/>
          <w:szCs w:val="28"/>
          <w:lang w:eastAsia="ru-RU"/>
        </w:rPr>
      </w:pPr>
      <w:r w:rsidRPr="003718E2">
        <w:rPr>
          <w:rFonts w:ascii="Times New Roman" w:hAnsi="Times New Roman"/>
          <w:sz w:val="28"/>
          <w:szCs w:val="28"/>
        </w:rPr>
        <w:lastRenderedPageBreak/>
        <w:t xml:space="preserve">де </w:t>
      </w:r>
      <w:r w:rsidRPr="0041757F">
        <w:rPr>
          <w:rStyle w:val="rvts9"/>
          <w:rFonts w:ascii="Times New Roman" w:hAnsi="Times New Roman"/>
          <w:bCs/>
          <w:sz w:val="28"/>
          <w:szCs w:val="28"/>
          <w:lang w:eastAsia="ru-RU"/>
        </w:rPr>
        <w:t>Ц</w:t>
      </w:r>
      <w:r w:rsidRPr="0041757F">
        <w:rPr>
          <w:rStyle w:val="rvts40"/>
          <w:rFonts w:ascii="Times New Roman" w:hAnsi="Times New Roman"/>
          <w:bCs/>
          <w:sz w:val="28"/>
          <w:szCs w:val="28"/>
          <w:vertAlign w:val="subscript"/>
          <w:lang w:eastAsia="ru-RU"/>
        </w:rPr>
        <w:t>ОРЕ ф і</w:t>
      </w:r>
      <w:r w:rsidRPr="003718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718E2">
        <w:rPr>
          <w:rFonts w:ascii="Times New Roman" w:hAnsi="Times New Roman"/>
          <w:sz w:val="28"/>
          <w:szCs w:val="28"/>
          <w:lang w:eastAsia="ru-RU"/>
        </w:rPr>
        <w:t>фактична середньозважена ціна купівлі електричної енергії на Оптовому ринку електричної енергії України, що склалася в і-му місяці 2019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718E2">
        <w:rPr>
          <w:rFonts w:ascii="Times New Roman" w:hAnsi="Times New Roman"/>
          <w:sz w:val="28"/>
          <w:szCs w:val="28"/>
          <w:lang w:eastAsia="ru-RU"/>
        </w:rPr>
        <w:t>року, скоригована з урахуванням дотацій, грн/</w:t>
      </w:r>
      <w:proofErr w:type="spellStart"/>
      <w:r w:rsidRPr="003718E2">
        <w:rPr>
          <w:rFonts w:ascii="Times New Roman" w:hAnsi="Times New Roman"/>
          <w:sz w:val="28"/>
          <w:szCs w:val="28"/>
          <w:lang w:eastAsia="ru-RU"/>
        </w:rPr>
        <w:t>МВт·год</w:t>
      </w:r>
      <w:proofErr w:type="spellEnd"/>
      <w:r w:rsidRPr="003718E2">
        <w:rPr>
          <w:rFonts w:ascii="Times New Roman" w:hAnsi="Times New Roman"/>
          <w:sz w:val="28"/>
          <w:szCs w:val="28"/>
          <w:lang w:eastAsia="ru-RU"/>
        </w:rPr>
        <w:t>;</w:t>
      </w:r>
      <w:r w:rsidRPr="0041757F">
        <w:rPr>
          <w:rStyle w:val="rvts9"/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16E1B" w:rsidRPr="008D4CE4" w:rsidRDefault="00916E1B" w:rsidP="0041757F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8E2">
        <w:rPr>
          <w:rStyle w:val="rvts9"/>
          <w:bCs/>
          <w:sz w:val="28"/>
          <w:szCs w:val="28"/>
          <w:lang w:val="ru-RU" w:eastAsia="ru-RU"/>
        </w:rPr>
        <w:t>O</w:t>
      </w:r>
      <w:r w:rsidRPr="003718E2">
        <w:rPr>
          <w:rStyle w:val="rvts40"/>
          <w:bCs/>
          <w:sz w:val="28"/>
          <w:szCs w:val="28"/>
          <w:vertAlign w:val="subscript"/>
          <w:lang w:val="ru-RU" w:eastAsia="ru-RU"/>
        </w:rPr>
        <w:t xml:space="preserve">ТВЕ </w:t>
      </w:r>
      <w:proofErr w:type="spellStart"/>
      <w:r w:rsidRPr="003718E2">
        <w:rPr>
          <w:rStyle w:val="rvts40"/>
          <w:bCs/>
          <w:sz w:val="28"/>
          <w:szCs w:val="28"/>
          <w:vertAlign w:val="subscript"/>
          <w:lang w:val="ru-RU" w:eastAsia="ru-RU"/>
        </w:rPr>
        <w:t>нф</w:t>
      </w:r>
      <w:proofErr w:type="spellEnd"/>
      <w:r w:rsidRPr="003718E2">
        <w:rPr>
          <w:rStyle w:val="rvts40"/>
          <w:bCs/>
          <w:sz w:val="28"/>
          <w:szCs w:val="28"/>
          <w:vertAlign w:val="subscript"/>
          <w:lang w:val="ru-RU" w:eastAsia="ru-RU"/>
        </w:rPr>
        <w:t xml:space="preserve"> і</w:t>
      </w:r>
      <w:r w:rsidRPr="003718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3718E2">
        <w:rPr>
          <w:sz w:val="28"/>
          <w:szCs w:val="28"/>
          <w:lang w:eastAsia="ru-RU"/>
        </w:rPr>
        <w:t xml:space="preserve">нормативно-фактичний обсяг технологічних витрат електричної енергії на її розподіл на 1 та 2 класах напруги в і-му місяці звітного року, </w:t>
      </w:r>
      <w:proofErr w:type="spellStart"/>
      <w:r w:rsidRPr="003718E2">
        <w:rPr>
          <w:sz w:val="28"/>
          <w:szCs w:val="28"/>
          <w:lang w:eastAsia="ru-RU"/>
        </w:rPr>
        <w:t>МВт·год</w:t>
      </w:r>
      <w:proofErr w:type="spellEnd"/>
      <w:r w:rsidRPr="003718E2">
        <w:rPr>
          <w:sz w:val="28"/>
          <w:szCs w:val="28"/>
          <w:lang w:eastAsia="ru-RU"/>
        </w:rPr>
        <w:t>, що розраховується за формулою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4415" cy="480060"/>
            <wp:effectExtent l="0" t="0" r="0" b="0"/>
            <wp:docPr id="7" name="Рисунок 19" descr="Описание: https://zakon.rada.gov.ua/laws/file/imgs/80/p476288n451-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zakon.rada.gov.ua/laws/file/imgs/80/p476288n451-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3718E2" w:rsidRDefault="00916E1B" w:rsidP="00DB7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8E2">
        <w:rPr>
          <w:rFonts w:ascii="Times New Roman" w:hAnsi="Times New Roman"/>
          <w:sz w:val="28"/>
          <w:szCs w:val="28"/>
        </w:rPr>
        <w:t xml:space="preserve">де </w:t>
      </w:r>
      <w:r w:rsidRPr="003718E2">
        <w:rPr>
          <w:rFonts w:ascii="Times New Roman" w:hAnsi="Times New Roman"/>
          <w:i/>
          <w:sz w:val="28"/>
          <w:szCs w:val="28"/>
          <w:lang w:val="en-US"/>
        </w:rPr>
        <w:t>W</w:t>
      </w:r>
      <w:r w:rsidRPr="0041757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proofErr w:type="spellStart"/>
      <w:r w:rsidRPr="003718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1757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718E2">
        <w:rPr>
          <w:rFonts w:ascii="Times New Roman" w:hAnsi="Times New Roman"/>
          <w:sz w:val="28"/>
          <w:szCs w:val="28"/>
        </w:rPr>
        <w:t>фактичний обсяг корисного відпуску електричної енергії споживачам на  1 класі напруги в і</w:t>
      </w:r>
      <w:r w:rsidRPr="003718E2">
        <w:rPr>
          <w:rFonts w:ascii="Times New Roman" w:hAnsi="Times New Roman"/>
          <w:i/>
          <w:sz w:val="28"/>
          <w:szCs w:val="28"/>
        </w:rPr>
        <w:t>-</w:t>
      </w:r>
      <w:r w:rsidRPr="003718E2">
        <w:rPr>
          <w:rFonts w:ascii="Times New Roman" w:hAnsi="Times New Roman"/>
          <w:sz w:val="28"/>
          <w:szCs w:val="28"/>
        </w:rPr>
        <w:t xml:space="preserve">му місяці звітного року, </w:t>
      </w:r>
      <w:proofErr w:type="spellStart"/>
      <w:r w:rsidRPr="003718E2">
        <w:rPr>
          <w:rFonts w:ascii="Times New Roman" w:hAnsi="Times New Roman"/>
          <w:sz w:val="28"/>
          <w:szCs w:val="28"/>
        </w:rPr>
        <w:t>МВт·год</w:t>
      </w:r>
      <w:proofErr w:type="spellEnd"/>
      <w:r w:rsidRPr="003718E2">
        <w:rPr>
          <w:rFonts w:ascii="Times New Roman" w:hAnsi="Times New Roman"/>
          <w:sz w:val="28"/>
          <w:szCs w:val="28"/>
        </w:rPr>
        <w:t>;</w:t>
      </w:r>
    </w:p>
    <w:p w:rsidR="00916E1B" w:rsidRDefault="00916E1B" w:rsidP="00DB7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8E2">
        <w:rPr>
          <w:rFonts w:ascii="Times New Roman" w:hAnsi="Times New Roman"/>
          <w:i/>
          <w:sz w:val="28"/>
          <w:szCs w:val="28"/>
          <w:lang w:val="en-US"/>
        </w:rPr>
        <w:t>W</w:t>
      </w:r>
      <w:r w:rsidRPr="0041757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proofErr w:type="spellStart"/>
      <w:r w:rsidRPr="003718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1757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718E2">
        <w:rPr>
          <w:rFonts w:ascii="Times New Roman" w:hAnsi="Times New Roman"/>
          <w:sz w:val="28"/>
          <w:szCs w:val="28"/>
        </w:rPr>
        <w:t>фактичний обсяг розподілу електричної енергії споживачам на 2</w:t>
      </w:r>
      <w:r>
        <w:rPr>
          <w:rFonts w:ascii="Times New Roman" w:hAnsi="Times New Roman"/>
          <w:sz w:val="28"/>
          <w:szCs w:val="28"/>
        </w:rPr>
        <w:t> </w:t>
      </w:r>
      <w:r w:rsidRPr="003718E2">
        <w:rPr>
          <w:rFonts w:ascii="Times New Roman" w:hAnsi="Times New Roman"/>
          <w:sz w:val="28"/>
          <w:szCs w:val="28"/>
        </w:rPr>
        <w:t>класі напруги в і</w:t>
      </w:r>
      <w:r w:rsidRPr="003718E2">
        <w:rPr>
          <w:rFonts w:ascii="Times New Roman" w:hAnsi="Times New Roman"/>
          <w:i/>
          <w:sz w:val="28"/>
          <w:szCs w:val="28"/>
        </w:rPr>
        <w:t>-</w:t>
      </w:r>
      <w:r w:rsidRPr="003718E2">
        <w:rPr>
          <w:rFonts w:ascii="Times New Roman" w:hAnsi="Times New Roman"/>
          <w:sz w:val="28"/>
          <w:szCs w:val="28"/>
        </w:rPr>
        <w:t xml:space="preserve">му місяці звітного року, </w:t>
      </w:r>
      <w:proofErr w:type="spellStart"/>
      <w:r w:rsidRPr="003718E2">
        <w:rPr>
          <w:rFonts w:ascii="Times New Roman" w:hAnsi="Times New Roman"/>
          <w:sz w:val="28"/>
          <w:szCs w:val="28"/>
        </w:rPr>
        <w:t>МВт·год</w:t>
      </w:r>
      <w:proofErr w:type="spellEnd"/>
      <w:r w:rsidRPr="003718E2">
        <w:rPr>
          <w:rFonts w:ascii="Times New Roman" w:hAnsi="Times New Roman"/>
          <w:sz w:val="28"/>
          <w:szCs w:val="28"/>
        </w:rPr>
        <w:t>;</w:t>
      </w:r>
    </w:p>
    <w:p w:rsidR="00916E1B" w:rsidRPr="003718E2" w:rsidRDefault="00916E1B" w:rsidP="00DB7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8E2">
        <w:rPr>
          <w:rFonts w:ascii="Times New Roman" w:hAnsi="Times New Roman"/>
          <w:i/>
          <w:sz w:val="28"/>
          <w:szCs w:val="28"/>
          <w:lang w:val="en-US" w:eastAsia="ru-RU"/>
        </w:rPr>
        <w:t>K</w:t>
      </w:r>
      <w:r w:rsidRPr="0041757F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3718E2">
        <w:rPr>
          <w:rFonts w:ascii="Times New Roman" w:hAnsi="Times New Roman"/>
          <w:sz w:val="28"/>
          <w:szCs w:val="28"/>
          <w:lang w:eastAsia="ru-RU"/>
        </w:rPr>
        <w:t>,</w:t>
      </w:r>
      <w:r w:rsidRPr="004175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8E2">
        <w:rPr>
          <w:rFonts w:ascii="Times New Roman" w:hAnsi="Times New Roman"/>
          <w:i/>
          <w:sz w:val="28"/>
          <w:szCs w:val="28"/>
          <w:lang w:val="en-US" w:eastAsia="ru-RU"/>
        </w:rPr>
        <w:t>K</w:t>
      </w:r>
      <w:r w:rsidRPr="0041757F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41757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718E2">
        <w:rPr>
          <w:rFonts w:ascii="Times New Roman" w:hAnsi="Times New Roman"/>
          <w:sz w:val="28"/>
          <w:szCs w:val="28"/>
          <w:lang w:eastAsia="ru-RU"/>
        </w:rPr>
        <w:t>економічні коефіцієнти прогнозованих технологічних витрат електричної енергії на 1 та 2 класах напруги, затверджені на звітний рік, відносні одиниці.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rStyle w:val="rvts9"/>
          <w:bCs/>
          <w:sz w:val="28"/>
          <w:szCs w:val="28"/>
        </w:rPr>
        <w:t>Д</w:t>
      </w:r>
      <w:r w:rsidRPr="008D4CE4">
        <w:rPr>
          <w:rStyle w:val="rvts40"/>
          <w:bCs/>
          <w:sz w:val="28"/>
          <w:szCs w:val="28"/>
          <w:vertAlign w:val="subscript"/>
        </w:rPr>
        <w:t>ТВЕ ф і</w:t>
      </w:r>
      <w:r w:rsidRPr="008D4CE4">
        <w:rPr>
          <w:sz w:val="28"/>
          <w:szCs w:val="28"/>
        </w:rPr>
        <w:t> розраховується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015" cy="267970"/>
            <wp:effectExtent l="0" t="0" r="0" b="0"/>
            <wp:docPr id="8" name="Рисунок 17" descr="Описание: https://zakon.rada.gov.ua/laws/file/imgs/80/p476288n454-10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zakon.rada.gov.ua/laws/file/imgs/80/p476288n454-10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265">
        <w:rPr>
          <w:sz w:val="28"/>
          <w:szCs w:val="28"/>
        </w:rPr>
        <w:t xml:space="preserve">де </w:t>
      </w:r>
      <w:r w:rsidRPr="004D6265">
        <w:rPr>
          <w:rStyle w:val="rvts9"/>
          <w:bCs/>
          <w:sz w:val="28"/>
          <w:szCs w:val="28"/>
          <w:lang w:val="ru-RU" w:eastAsia="ru-RU"/>
        </w:rPr>
        <w:t>O</w:t>
      </w:r>
      <w:r w:rsidRPr="0041757F">
        <w:rPr>
          <w:rStyle w:val="rvts40"/>
          <w:bCs/>
          <w:sz w:val="28"/>
          <w:szCs w:val="28"/>
          <w:vertAlign w:val="subscript"/>
          <w:lang w:eastAsia="ru-RU"/>
        </w:rPr>
        <w:t>ТВЕ ф і</w:t>
      </w:r>
      <w:r w:rsidRPr="004D6265">
        <w:rPr>
          <w:sz w:val="28"/>
          <w:szCs w:val="28"/>
          <w:lang w:eastAsia="ru-RU"/>
        </w:rPr>
        <w:t xml:space="preserve"> – фактичний обсяг технологічних витрат електричної енергії в  і-му місяці звітного року відповідно до даних за формою звітності № 2-НКРЕ (місячна) «Звітні дані про обсяги передачі електричної енергії місцевими (локальними) електромережами та нормативні технологічні витрати електроенергії за 1 – 2 класами напруги», затвердженою постановою Національної комісії, що здійснює державне регулювання у сфері енергетики, від 04 жовтня 2012 року № 1257, та формою звітності № 2а-НКРЕКП-розподіл електричної енергії (місячна) «Звітні дані про обсяги розподілу електричної енергії та технологічні витрати електричної енергії за 1 та 2 класами напруги», затвердженою постановою НКРЕКП від 28 лютого 2019 року № 282, </w:t>
      </w:r>
      <w:proofErr w:type="spellStart"/>
      <w:r w:rsidRPr="004D6265">
        <w:rPr>
          <w:sz w:val="28"/>
          <w:szCs w:val="28"/>
          <w:lang w:eastAsia="ru-RU"/>
        </w:rPr>
        <w:t>МВт·год</w:t>
      </w:r>
      <w:proofErr w:type="spellEnd"/>
      <w:r>
        <w:rPr>
          <w:sz w:val="28"/>
          <w:szCs w:val="28"/>
          <w:lang w:eastAsia="ru-RU"/>
        </w:rPr>
        <w:t>.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Після впровадження нового ринку електричної енергії (з 01 липня 2019</w:t>
      </w:r>
      <w:r>
        <w:rPr>
          <w:sz w:val="28"/>
          <w:szCs w:val="28"/>
        </w:rPr>
        <w:t> </w:t>
      </w:r>
      <w:r w:rsidRPr="008D4CE4">
        <w:rPr>
          <w:sz w:val="28"/>
          <w:szCs w:val="28"/>
        </w:rPr>
        <w:t>року) </w:t>
      </w:r>
      <w:r w:rsidRPr="008D4CE4">
        <w:rPr>
          <w:rStyle w:val="rvts9"/>
          <w:bCs/>
          <w:sz w:val="28"/>
          <w:szCs w:val="28"/>
        </w:rPr>
        <w:t>Д</w:t>
      </w:r>
      <w:r w:rsidRPr="008D4CE4">
        <w:rPr>
          <w:rStyle w:val="rvts40"/>
          <w:bCs/>
          <w:sz w:val="28"/>
          <w:szCs w:val="28"/>
          <w:vertAlign w:val="subscript"/>
        </w:rPr>
        <w:t xml:space="preserve">ТВЕ </w:t>
      </w:r>
      <w:proofErr w:type="spellStart"/>
      <w:r w:rsidRPr="008D4CE4">
        <w:rPr>
          <w:rStyle w:val="rvts40"/>
          <w:bCs/>
          <w:sz w:val="28"/>
          <w:szCs w:val="28"/>
          <w:vertAlign w:val="subscript"/>
        </w:rPr>
        <w:t>нф</w:t>
      </w:r>
      <w:proofErr w:type="spellEnd"/>
      <w:r w:rsidRPr="008D4CE4">
        <w:rPr>
          <w:rStyle w:val="rvts40"/>
          <w:bCs/>
          <w:sz w:val="28"/>
          <w:szCs w:val="28"/>
          <w:vertAlign w:val="subscript"/>
        </w:rPr>
        <w:t xml:space="preserve"> і</w:t>
      </w:r>
      <w:r w:rsidRPr="008D4CE4">
        <w:rPr>
          <w:sz w:val="28"/>
          <w:szCs w:val="28"/>
        </w:rPr>
        <w:t> розраховується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8475" cy="295275"/>
            <wp:effectExtent l="0" t="0" r="0" b="0"/>
            <wp:docPr id="9" name="Рисунок 24" descr="Описание: https://zakon.rada.gov.ua/laws/file/imgs/80/p476288n457-11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s://zakon.rada.gov.ua/laws/file/imgs/80/p476288n457-11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16E1B" w:rsidRDefault="00916E1B" w:rsidP="00324F38">
      <w:pPr>
        <w:pStyle w:val="rvps12"/>
        <w:shd w:val="clear" w:color="auto" w:fill="FFFFFF"/>
        <w:tabs>
          <w:tab w:val="left" w:pos="345"/>
          <w:tab w:val="center" w:pos="1847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254E7D">
        <w:rPr>
          <w:sz w:val="28"/>
          <w:szCs w:val="28"/>
        </w:rPr>
        <w:t xml:space="preserve">де </w:t>
      </w:r>
      <w:proofErr w:type="spellStart"/>
      <w:r w:rsidRPr="0041757F">
        <w:rPr>
          <w:rStyle w:val="rvts9"/>
          <w:bCs/>
          <w:sz w:val="28"/>
          <w:szCs w:val="28"/>
          <w:lang w:eastAsia="ru-RU"/>
        </w:rPr>
        <w:t>К</w:t>
      </w:r>
      <w:r w:rsidRPr="0041757F">
        <w:rPr>
          <w:rStyle w:val="rvts40"/>
          <w:bCs/>
          <w:sz w:val="28"/>
          <w:szCs w:val="28"/>
          <w:vertAlign w:val="subscript"/>
          <w:lang w:eastAsia="ru-RU"/>
        </w:rPr>
        <w:t>ф</w:t>
      </w:r>
      <w:proofErr w:type="spellEnd"/>
      <w:r w:rsidRPr="0041757F">
        <w:rPr>
          <w:rStyle w:val="rvts40"/>
          <w:bCs/>
          <w:sz w:val="28"/>
          <w:szCs w:val="28"/>
          <w:vertAlign w:val="subscript"/>
          <w:lang w:eastAsia="ru-RU"/>
        </w:rPr>
        <w:t xml:space="preserve"> ПСО і  </w:t>
      </w:r>
      <w:r w:rsidRPr="0041757F">
        <w:rPr>
          <w:rStyle w:val="rvts40"/>
          <w:bCs/>
          <w:sz w:val="28"/>
          <w:szCs w:val="28"/>
          <w:lang w:eastAsia="ru-RU"/>
        </w:rPr>
        <w:t xml:space="preserve">– </w:t>
      </w:r>
      <w:r w:rsidRPr="00254E7D">
        <w:rPr>
          <w:sz w:val="28"/>
          <w:szCs w:val="28"/>
          <w:lang w:eastAsia="ru-RU"/>
        </w:rPr>
        <w:t>питома вага в загальному обсязі технологічних витрат електричної енергії на її розподіл, купован</w:t>
      </w:r>
      <w:r>
        <w:rPr>
          <w:sz w:val="28"/>
          <w:szCs w:val="28"/>
          <w:lang w:eastAsia="ru-RU"/>
        </w:rPr>
        <w:t>ої</w:t>
      </w:r>
      <w:r w:rsidRPr="00254E7D">
        <w:rPr>
          <w:sz w:val="28"/>
          <w:szCs w:val="28"/>
          <w:lang w:eastAsia="ru-RU"/>
        </w:rPr>
        <w:t xml:space="preserve"> згідно з Положенням № 483, </w:t>
      </w:r>
      <w:r>
        <w:rPr>
          <w:sz w:val="28"/>
          <w:szCs w:val="28"/>
          <w:lang w:eastAsia="ru-RU"/>
        </w:rPr>
        <w:t xml:space="preserve">       </w:t>
      </w:r>
      <w:r w:rsidRPr="00254E7D">
        <w:rPr>
          <w:sz w:val="28"/>
          <w:szCs w:val="28"/>
          <w:lang w:eastAsia="ru-RU"/>
        </w:rPr>
        <w:t>в і-му місяці звітного року:</w:t>
      </w:r>
    </w:p>
    <w:p w:rsidR="00916E1B" w:rsidRPr="008D4CE4" w:rsidRDefault="00916E1B" w:rsidP="00324F38">
      <w:pPr>
        <w:pStyle w:val="rvps12"/>
        <w:shd w:val="clear" w:color="auto" w:fill="FFFFFF"/>
        <w:tabs>
          <w:tab w:val="left" w:pos="345"/>
          <w:tab w:val="center" w:pos="184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у липні</w:t>
      </w:r>
      <w:r>
        <w:rPr>
          <w:sz w:val="28"/>
          <w:szCs w:val="28"/>
        </w:rPr>
        <w:t xml:space="preserve"> – </w:t>
      </w:r>
      <w:r w:rsidRPr="008D4CE4">
        <w:rPr>
          <w:sz w:val="28"/>
          <w:szCs w:val="28"/>
        </w:rPr>
        <w:t>серпні 2019 року розраховується за формулою</w:t>
      </w:r>
      <w:r w:rsidRPr="008D4CE4">
        <w:rPr>
          <w:sz w:val="28"/>
          <w:szCs w:val="28"/>
        </w:rPr>
        <w:tab/>
      </w:r>
    </w:p>
    <w:p w:rsidR="00916E1B" w:rsidRPr="008D4CE4" w:rsidRDefault="00916E1B" w:rsidP="00324F38">
      <w:pPr>
        <w:pStyle w:val="rvps12"/>
        <w:shd w:val="clear" w:color="auto" w:fill="FFFFFF"/>
        <w:tabs>
          <w:tab w:val="left" w:pos="345"/>
          <w:tab w:val="center" w:pos="184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C743FB" w:rsidP="0041757F">
      <w:pPr>
        <w:pStyle w:val="rvps12"/>
        <w:shd w:val="clear" w:color="auto" w:fill="FFFFFF"/>
        <w:tabs>
          <w:tab w:val="left" w:pos="345"/>
          <w:tab w:val="center" w:pos="1847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6725" cy="424815"/>
            <wp:effectExtent l="0" t="0" r="0" b="0"/>
            <wp:docPr id="10" name="Рисунок 23" descr="Описание: https://zakon.rada.gov.ua/laws/file/imgs/80/p476288n459-12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zakon.rada.gov.ua/laws/file/imgs/80/p476288n459-12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C54">
        <w:rPr>
          <w:sz w:val="28"/>
          <w:szCs w:val="28"/>
        </w:rPr>
        <w:lastRenderedPageBreak/>
        <w:t>де О</w:t>
      </w:r>
      <w:r w:rsidRPr="004E1C54">
        <w:rPr>
          <w:sz w:val="28"/>
          <w:szCs w:val="28"/>
          <w:vertAlign w:val="subscript"/>
        </w:rPr>
        <w:t xml:space="preserve">ТВЕ ПСО ф і </w:t>
      </w:r>
      <w:r>
        <w:rPr>
          <w:sz w:val="28"/>
          <w:szCs w:val="28"/>
        </w:rPr>
        <w:t xml:space="preserve">– </w:t>
      </w:r>
      <w:r w:rsidRPr="004E1C54">
        <w:rPr>
          <w:sz w:val="28"/>
          <w:szCs w:val="28"/>
          <w:lang w:eastAsia="ru-RU"/>
        </w:rPr>
        <w:t xml:space="preserve">фактичний обсяг технологічних витрат електричної енергії на її розподіл на 1 та 2 класах напруги </w:t>
      </w:r>
      <w:r>
        <w:rPr>
          <w:sz w:val="28"/>
          <w:szCs w:val="28"/>
          <w:lang w:eastAsia="ru-RU"/>
        </w:rPr>
        <w:t>в</w:t>
      </w:r>
      <w:r w:rsidRPr="004E1C54">
        <w:rPr>
          <w:sz w:val="28"/>
          <w:szCs w:val="28"/>
          <w:lang w:eastAsia="ru-RU"/>
        </w:rPr>
        <w:t xml:space="preserve"> і-му місяці звітного року, куплений згідно з Положенням № 483 </w:t>
      </w:r>
      <w:r>
        <w:rPr>
          <w:sz w:val="28"/>
          <w:szCs w:val="28"/>
          <w:lang w:eastAsia="ru-RU"/>
        </w:rPr>
        <w:t>в</w:t>
      </w:r>
      <w:r w:rsidRPr="004E1C54">
        <w:rPr>
          <w:sz w:val="28"/>
          <w:szCs w:val="28"/>
          <w:lang w:eastAsia="ru-RU"/>
        </w:rPr>
        <w:t xml:space="preserve"> і-му місяці звітного року, </w:t>
      </w:r>
      <w:proofErr w:type="spellStart"/>
      <w:r w:rsidRPr="004E1C54">
        <w:rPr>
          <w:sz w:val="28"/>
          <w:szCs w:val="28"/>
          <w:lang w:eastAsia="ru-RU"/>
        </w:rPr>
        <w:t>МВт·год</w:t>
      </w:r>
      <w:proofErr w:type="spellEnd"/>
      <w:r w:rsidRPr="004E1C54">
        <w:rPr>
          <w:sz w:val="28"/>
          <w:szCs w:val="28"/>
          <w:lang w:eastAsia="ru-RU"/>
        </w:rPr>
        <w:t>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 xml:space="preserve">у вересні </w:t>
      </w:r>
      <w:r>
        <w:rPr>
          <w:sz w:val="28"/>
          <w:szCs w:val="28"/>
        </w:rPr>
        <w:t>–</w:t>
      </w:r>
      <w:r w:rsidRPr="008D4CE4">
        <w:rPr>
          <w:sz w:val="28"/>
          <w:szCs w:val="28"/>
        </w:rPr>
        <w:t xml:space="preserve"> грудні 2019 року </w:t>
      </w:r>
      <w:proofErr w:type="spellStart"/>
      <w:r w:rsidRPr="008D4CE4">
        <w:rPr>
          <w:rStyle w:val="rvts9"/>
          <w:bCs/>
          <w:sz w:val="28"/>
          <w:szCs w:val="28"/>
        </w:rPr>
        <w:t>К</w:t>
      </w:r>
      <w:r w:rsidRPr="008D4CE4">
        <w:rPr>
          <w:rStyle w:val="rvts40"/>
          <w:bCs/>
          <w:sz w:val="28"/>
          <w:szCs w:val="28"/>
          <w:vertAlign w:val="subscript"/>
        </w:rPr>
        <w:t>ф</w:t>
      </w:r>
      <w:proofErr w:type="spellEnd"/>
      <w:r w:rsidRPr="008D4CE4">
        <w:rPr>
          <w:rStyle w:val="rvts40"/>
          <w:bCs/>
          <w:sz w:val="28"/>
          <w:szCs w:val="28"/>
          <w:vertAlign w:val="subscript"/>
        </w:rPr>
        <w:t xml:space="preserve"> ПСО і</w:t>
      </w:r>
      <w:r w:rsidRPr="008D4CE4">
        <w:rPr>
          <w:sz w:val="28"/>
          <w:szCs w:val="28"/>
        </w:rPr>
        <w:t> дорівнює 0,8;</w:t>
      </w:r>
    </w:p>
    <w:p w:rsidR="00916E1B" w:rsidRPr="00A16055" w:rsidRDefault="00916E1B" w:rsidP="00535B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055">
        <w:rPr>
          <w:rStyle w:val="rvts9"/>
          <w:rFonts w:ascii="Times New Roman" w:hAnsi="Times New Roman"/>
          <w:bCs/>
          <w:sz w:val="28"/>
          <w:szCs w:val="28"/>
          <w:lang w:eastAsia="ru-RU"/>
        </w:rPr>
        <w:t>Ц </w:t>
      </w:r>
      <w:r w:rsidRPr="00A16055">
        <w:rPr>
          <w:rStyle w:val="rvts40"/>
          <w:rFonts w:ascii="Times New Roman" w:hAnsi="Times New Roman"/>
          <w:bCs/>
          <w:sz w:val="28"/>
          <w:szCs w:val="28"/>
          <w:vertAlign w:val="subscript"/>
          <w:lang w:eastAsia="ru-RU"/>
        </w:rPr>
        <w:t>ф і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фактична ціна електричної енергії, купованої згідно з Положенням № 483,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 і-му місяці звітного року,  грн/</w:t>
      </w:r>
      <w:proofErr w:type="spellStart"/>
      <w:r w:rsidRPr="00A16055">
        <w:rPr>
          <w:rFonts w:ascii="Times New Roman" w:hAnsi="Times New Roman"/>
          <w:sz w:val="28"/>
          <w:szCs w:val="28"/>
          <w:lang w:eastAsia="ru-RU"/>
        </w:rPr>
        <w:t>МВт·год</w:t>
      </w:r>
      <w:proofErr w:type="spellEnd"/>
      <w:r w:rsidRPr="00A16055">
        <w:rPr>
          <w:rFonts w:ascii="Times New Roman" w:hAnsi="Times New Roman"/>
          <w:sz w:val="28"/>
          <w:szCs w:val="28"/>
          <w:lang w:eastAsia="ru-RU"/>
        </w:rPr>
        <w:t>;</w:t>
      </w:r>
    </w:p>
    <w:p w:rsidR="00916E1B" w:rsidRPr="00A16055" w:rsidRDefault="00916E1B" w:rsidP="00535BB3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16055">
        <w:rPr>
          <w:rStyle w:val="rvts9"/>
          <w:rFonts w:ascii="Times New Roman" w:hAnsi="Times New Roman"/>
          <w:bCs/>
          <w:sz w:val="28"/>
          <w:szCs w:val="28"/>
          <w:lang w:eastAsia="ru-RU"/>
        </w:rPr>
        <w:t>Ц</w:t>
      </w:r>
      <w:r w:rsidRPr="00A16055">
        <w:rPr>
          <w:rStyle w:val="rvts40"/>
          <w:rFonts w:ascii="Times New Roman" w:hAnsi="Times New Roman"/>
          <w:bCs/>
          <w:sz w:val="28"/>
          <w:szCs w:val="28"/>
          <w:vertAlign w:val="subscript"/>
          <w:lang w:eastAsia="ru-RU"/>
        </w:rPr>
        <w:t>РДН ф і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фактична середньозважена ціна купівлі електричної енергії на ринку «на добу наперед»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16055">
        <w:rPr>
          <w:rFonts w:ascii="Times New Roman" w:hAnsi="Times New Roman"/>
          <w:sz w:val="28"/>
          <w:szCs w:val="28"/>
          <w:lang w:eastAsia="ru-RU"/>
        </w:rPr>
        <w:t xml:space="preserve"> і-му місяці звітного року, що враховує погодинний графік технологічних витрат електричної енергії, грн/</w:t>
      </w:r>
      <w:proofErr w:type="spellStart"/>
      <w:r w:rsidRPr="00A16055">
        <w:rPr>
          <w:rFonts w:ascii="Times New Roman" w:hAnsi="Times New Roman"/>
          <w:sz w:val="28"/>
          <w:szCs w:val="28"/>
          <w:lang w:eastAsia="ru-RU"/>
        </w:rPr>
        <w:t>МВт·год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rStyle w:val="rvts9"/>
          <w:bCs/>
          <w:sz w:val="28"/>
          <w:szCs w:val="28"/>
        </w:rPr>
        <w:t>Д</w:t>
      </w:r>
      <w:r w:rsidRPr="008D4CE4">
        <w:rPr>
          <w:rStyle w:val="rvts40"/>
          <w:bCs/>
          <w:sz w:val="28"/>
          <w:szCs w:val="28"/>
          <w:vertAlign w:val="subscript"/>
        </w:rPr>
        <w:t>ТВЕ ф і</w:t>
      </w:r>
      <w:r w:rsidRPr="008D4CE4">
        <w:rPr>
          <w:sz w:val="28"/>
          <w:szCs w:val="28"/>
        </w:rPr>
        <w:t> розраховується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C743FB" w:rsidP="00324F38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5955" cy="369570"/>
            <wp:effectExtent l="0" t="0" r="0" b="0"/>
            <wp:docPr id="11" name="Рисунок 21" descr="Описание: https://zakon.rada.gov.ua/laws/file/imgs/80/p476288n464-14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zakon.rada.gov.ua/laws/file/imgs/80/p476288n464-14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80" w:rsidRPr="00AA0280" w:rsidRDefault="00AA0280" w:rsidP="00AA0280">
      <w:pPr>
        <w:pStyle w:val="st2"/>
        <w:rPr>
          <w:rStyle w:val="st42"/>
          <w:sz w:val="28"/>
          <w:szCs w:val="28"/>
        </w:rPr>
      </w:pPr>
      <w:r w:rsidRPr="00AA0280">
        <w:rPr>
          <w:rStyle w:val="st42"/>
          <w:sz w:val="28"/>
          <w:szCs w:val="28"/>
        </w:rPr>
        <w:t xml:space="preserve">З 01 січня 2021 року </w:t>
      </w:r>
      <w:r w:rsidRPr="00AA0280">
        <w:rPr>
          <w:rStyle w:val="st102"/>
          <w:sz w:val="28"/>
          <w:szCs w:val="28"/>
        </w:rPr>
        <w:t>Д</w:t>
      </w:r>
      <w:r w:rsidRPr="00AA0280">
        <w:rPr>
          <w:rStyle w:val="st40"/>
          <w:sz w:val="28"/>
          <w:szCs w:val="28"/>
        </w:rPr>
        <w:t xml:space="preserve">ТВЕ </w:t>
      </w:r>
      <w:proofErr w:type="spellStart"/>
      <w:r w:rsidRPr="00AA0280">
        <w:rPr>
          <w:rStyle w:val="st40"/>
          <w:sz w:val="28"/>
          <w:szCs w:val="28"/>
        </w:rPr>
        <w:t>нф</w:t>
      </w:r>
      <w:proofErr w:type="spellEnd"/>
      <w:r w:rsidRPr="00AA0280">
        <w:rPr>
          <w:rStyle w:val="st40"/>
          <w:sz w:val="28"/>
          <w:szCs w:val="28"/>
        </w:rPr>
        <w:t xml:space="preserve"> і</w:t>
      </w:r>
      <w:r w:rsidRPr="00AA0280">
        <w:rPr>
          <w:rStyle w:val="st42"/>
          <w:sz w:val="28"/>
          <w:szCs w:val="28"/>
        </w:rPr>
        <w:t xml:space="preserve"> розраховується за формулою</w:t>
      </w:r>
    </w:p>
    <w:p w:rsidR="00AA0280" w:rsidRPr="00AA0280" w:rsidRDefault="00AA0280" w:rsidP="00AA0280">
      <w:pPr>
        <w:pStyle w:val="st12"/>
        <w:rPr>
          <w:rStyle w:val="st42"/>
          <w:sz w:val="28"/>
          <w:szCs w:val="28"/>
        </w:rPr>
      </w:pPr>
      <w:r w:rsidRPr="00AA0280">
        <w:rPr>
          <w:rStyle w:val="st42"/>
          <w:noProof/>
          <w:sz w:val="28"/>
          <w:szCs w:val="28"/>
          <w:lang w:val="uk-UA" w:eastAsia="uk-UA"/>
        </w:rPr>
        <w:drawing>
          <wp:inline distT="0" distB="0" distL="0" distR="0">
            <wp:extent cx="2162175" cy="333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"/>
        <w:gridCol w:w="1009"/>
        <w:gridCol w:w="320"/>
        <w:gridCol w:w="7861"/>
      </w:tblGrid>
      <w:tr w:rsidR="00AA0280" w:rsidRPr="00AA0280">
        <w:trPr>
          <w:tblCellSpacing w:w="0" w:type="dxa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де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0"/>
                <w:sz w:val="28"/>
                <w:szCs w:val="28"/>
              </w:rPr>
            </w:pPr>
            <w:r w:rsidRPr="00AA0280">
              <w:rPr>
                <w:rStyle w:val="st102"/>
                <w:sz w:val="28"/>
                <w:szCs w:val="28"/>
              </w:rPr>
              <w:t>Ц</w:t>
            </w:r>
            <w:r w:rsidRPr="00AA0280">
              <w:rPr>
                <w:rStyle w:val="st40"/>
                <w:sz w:val="28"/>
                <w:szCs w:val="28"/>
              </w:rPr>
              <w:t xml:space="preserve">ТВЕ і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2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-</w:t>
            </w:r>
          </w:p>
        </w:tc>
        <w:tc>
          <w:tcPr>
            <w:tcW w:w="1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середньозважена ціна купівлі електричної енергії на ринку електричної енергії в і-му місяці звітного року, що враховує погодинний графік технологічних витрат електричної енергії та ціни електричної енергії на ринку «на добу наперед», ринку двосторонніх договорів (у тому числі у НАЕК «Енергоатом», у зв’язку з покладенням спеціальних обов’язків на учасників ринку електричної енергії) та балансуючому ринку, грн/</w:t>
            </w:r>
            <w:proofErr w:type="spellStart"/>
            <w:r w:rsidRPr="00AA0280">
              <w:rPr>
                <w:rStyle w:val="st42"/>
                <w:sz w:val="28"/>
                <w:szCs w:val="28"/>
              </w:rPr>
              <w:t>МВт·год</w:t>
            </w:r>
            <w:proofErr w:type="spellEnd"/>
            <w:r w:rsidRPr="00AA0280">
              <w:rPr>
                <w:rStyle w:val="st42"/>
                <w:sz w:val="28"/>
                <w:szCs w:val="28"/>
              </w:rPr>
              <w:t>, та розраховується за формулою</w:t>
            </w:r>
          </w:p>
        </w:tc>
      </w:tr>
    </w:tbl>
    <w:p w:rsidR="00AA0280" w:rsidRPr="00AA0280" w:rsidRDefault="00AA0280" w:rsidP="00AA0280">
      <w:pPr>
        <w:pStyle w:val="st12"/>
        <w:rPr>
          <w:rStyle w:val="st42"/>
          <w:sz w:val="28"/>
          <w:szCs w:val="28"/>
        </w:rPr>
      </w:pPr>
      <w:r w:rsidRPr="00AA0280">
        <w:rPr>
          <w:rStyle w:val="st42"/>
          <w:noProof/>
          <w:sz w:val="28"/>
          <w:szCs w:val="28"/>
          <w:lang w:val="uk-UA" w:eastAsia="uk-UA"/>
        </w:rPr>
        <w:drawing>
          <wp:inline distT="0" distB="0" distL="0" distR="0">
            <wp:extent cx="6200775" cy="352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"/>
        <w:gridCol w:w="970"/>
        <w:gridCol w:w="295"/>
        <w:gridCol w:w="7972"/>
      </w:tblGrid>
      <w:tr w:rsidR="00AA0280" w:rsidRPr="00AA0280">
        <w:trPr>
          <w:tblCellSpacing w:w="0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де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0"/>
                <w:sz w:val="28"/>
                <w:szCs w:val="28"/>
              </w:rPr>
            </w:pPr>
            <w:r w:rsidRPr="00AA0280">
              <w:rPr>
                <w:rStyle w:val="st102"/>
                <w:sz w:val="28"/>
                <w:szCs w:val="28"/>
              </w:rPr>
              <w:t>К</w:t>
            </w:r>
            <w:r w:rsidRPr="00AA0280">
              <w:rPr>
                <w:rStyle w:val="st30"/>
                <w:sz w:val="28"/>
                <w:szCs w:val="28"/>
              </w:rPr>
              <w:t>БР</w:t>
            </w:r>
            <w:r w:rsidRPr="00AA0280">
              <w:rPr>
                <w:rStyle w:val="st40"/>
                <w:sz w:val="28"/>
                <w:szCs w:val="28"/>
              </w:rPr>
              <w:t>W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2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-</w:t>
            </w:r>
          </w:p>
        </w:tc>
        <w:tc>
          <w:tcPr>
            <w:tcW w:w="1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коефіцієнт, що враховує граничний відносний обсяг небалансів електричної енергії в і-му місяці звітного року, застосований під час розрахунку встановлених тарифів на послуги з розподілу електричної енергії, відносні одиниці;</w:t>
            </w:r>
          </w:p>
        </w:tc>
      </w:tr>
      <w:tr w:rsidR="00AA0280" w:rsidRPr="00AA0280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0"/>
                <w:sz w:val="28"/>
                <w:szCs w:val="28"/>
              </w:rPr>
            </w:pPr>
            <w:r w:rsidRPr="00AA0280">
              <w:rPr>
                <w:rStyle w:val="st102"/>
                <w:sz w:val="28"/>
                <w:szCs w:val="28"/>
              </w:rPr>
              <w:t>К</w:t>
            </w:r>
            <w:r w:rsidRPr="00AA0280">
              <w:rPr>
                <w:rStyle w:val="st30"/>
                <w:sz w:val="28"/>
                <w:szCs w:val="28"/>
              </w:rPr>
              <w:t>ДД</w:t>
            </w:r>
            <w:r w:rsidRPr="00AA0280">
              <w:rPr>
                <w:rStyle w:val="st40"/>
                <w:sz w:val="28"/>
                <w:szCs w:val="28"/>
              </w:rPr>
              <w:t>W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2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-</w:t>
            </w:r>
          </w:p>
        </w:tc>
        <w:tc>
          <w:tcPr>
            <w:tcW w:w="1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коефіцієнт, що враховує фактичну частку електричної енергії, що купується на ринку двосторонніх договорів (у тому числі в НАЕК «Енергоатом», у зв’язку з покладенням спеціальних обов’язків на учасників ринку електричної енергії) в і-му місяці звітного року, відносні одиниці;</w:t>
            </w:r>
          </w:p>
        </w:tc>
      </w:tr>
      <w:tr w:rsidR="00AA0280" w:rsidRPr="00AA0280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0"/>
                <w:sz w:val="28"/>
                <w:szCs w:val="28"/>
              </w:rPr>
            </w:pPr>
            <w:r w:rsidRPr="00AA0280">
              <w:rPr>
                <w:rStyle w:val="st102"/>
                <w:sz w:val="28"/>
                <w:szCs w:val="28"/>
              </w:rPr>
              <w:t>К</w:t>
            </w:r>
            <w:r w:rsidRPr="00AA0280">
              <w:rPr>
                <w:rStyle w:val="st30"/>
                <w:sz w:val="28"/>
                <w:szCs w:val="28"/>
              </w:rPr>
              <w:t>БР</w:t>
            </w:r>
            <w:r w:rsidRPr="00AA0280">
              <w:rPr>
                <w:rStyle w:val="st40"/>
                <w:sz w:val="28"/>
                <w:szCs w:val="28"/>
              </w:rPr>
              <w:t>Ц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2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-</w:t>
            </w:r>
          </w:p>
        </w:tc>
        <w:tc>
          <w:tcPr>
            <w:tcW w:w="1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 xml:space="preserve">коефіцієнт, що враховує граничне відносне відхилення цін небалансів електричної енергії від цін електричної енергії на ринку «на добу наперед» в і-му місяці звітного року, </w:t>
            </w:r>
            <w:r w:rsidRPr="00AA0280">
              <w:rPr>
                <w:rStyle w:val="st42"/>
                <w:sz w:val="28"/>
                <w:szCs w:val="28"/>
              </w:rPr>
              <w:lastRenderedPageBreak/>
              <w:t>застосований під час розрахунку встановлених тарифів на послуги з розподілу електричної енергії, відносні одиниці;</w:t>
            </w:r>
          </w:p>
        </w:tc>
      </w:tr>
      <w:tr w:rsidR="00AA0280" w:rsidRPr="00AA0280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0"/>
                <w:sz w:val="28"/>
                <w:szCs w:val="28"/>
              </w:rPr>
            </w:pPr>
            <w:r w:rsidRPr="00AA0280">
              <w:rPr>
                <w:rStyle w:val="st102"/>
                <w:sz w:val="28"/>
                <w:szCs w:val="28"/>
              </w:rPr>
              <w:t>Ц</w:t>
            </w:r>
            <w:r w:rsidRPr="00AA0280">
              <w:rPr>
                <w:rStyle w:val="st40"/>
                <w:sz w:val="28"/>
                <w:szCs w:val="28"/>
              </w:rPr>
              <w:t xml:space="preserve"> РДД ф і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2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-</w:t>
            </w:r>
          </w:p>
        </w:tc>
        <w:tc>
          <w:tcPr>
            <w:tcW w:w="1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280" w:rsidRPr="00AA0280" w:rsidRDefault="00AA0280">
            <w:pPr>
              <w:pStyle w:val="st14"/>
              <w:rPr>
                <w:rStyle w:val="st42"/>
                <w:sz w:val="28"/>
                <w:szCs w:val="28"/>
              </w:rPr>
            </w:pPr>
            <w:r w:rsidRPr="00AA0280">
              <w:rPr>
                <w:rStyle w:val="st42"/>
                <w:sz w:val="28"/>
                <w:szCs w:val="28"/>
              </w:rPr>
              <w:t>фактична середньозважена ціна купівлі електричної енергії на ринку двосторонніх договорів (у тому числі в НАЕК «Енергоатом», у зв’язку з покладенням спеціальних обов’язків на учасників ринку електричної енергії) в і-му місяці звітного року згідно з актом купівлі-продажу електричної енергії, грн/</w:t>
            </w:r>
            <w:proofErr w:type="spellStart"/>
            <w:r w:rsidRPr="00AA0280">
              <w:rPr>
                <w:rStyle w:val="st42"/>
                <w:sz w:val="28"/>
                <w:szCs w:val="28"/>
              </w:rPr>
              <w:t>МВт·год</w:t>
            </w:r>
            <w:proofErr w:type="spellEnd"/>
            <w:r w:rsidRPr="00AA0280">
              <w:rPr>
                <w:rStyle w:val="st42"/>
                <w:sz w:val="28"/>
                <w:szCs w:val="28"/>
              </w:rPr>
              <w:t>.</w:t>
            </w:r>
          </w:p>
        </w:tc>
      </w:tr>
    </w:tbl>
    <w:p w:rsidR="00AA0280" w:rsidRPr="00AA0280" w:rsidRDefault="00AA0280" w:rsidP="00AA0280">
      <w:pPr>
        <w:pStyle w:val="st2"/>
        <w:rPr>
          <w:rStyle w:val="st42"/>
          <w:sz w:val="28"/>
          <w:szCs w:val="28"/>
        </w:rPr>
      </w:pPr>
      <w:r w:rsidRPr="00AA0280">
        <w:rPr>
          <w:rStyle w:val="st102"/>
          <w:sz w:val="28"/>
          <w:szCs w:val="28"/>
        </w:rPr>
        <w:t>Д</w:t>
      </w:r>
      <w:r w:rsidRPr="00AA0280">
        <w:rPr>
          <w:rStyle w:val="st42"/>
          <w:sz w:val="28"/>
          <w:szCs w:val="28"/>
        </w:rPr>
        <w:t xml:space="preserve"> </w:t>
      </w:r>
      <w:r w:rsidRPr="00AA0280">
        <w:rPr>
          <w:rStyle w:val="st40"/>
          <w:sz w:val="28"/>
          <w:szCs w:val="28"/>
        </w:rPr>
        <w:t>ТВЕ ф і</w:t>
      </w:r>
      <w:r w:rsidRPr="00AA0280">
        <w:rPr>
          <w:rStyle w:val="st42"/>
          <w:sz w:val="28"/>
          <w:szCs w:val="28"/>
        </w:rPr>
        <w:t xml:space="preserve"> розраховується за формулою</w:t>
      </w:r>
    </w:p>
    <w:p w:rsidR="00AA0280" w:rsidRPr="00AA0280" w:rsidRDefault="00AA0280" w:rsidP="00AA0280">
      <w:pPr>
        <w:pStyle w:val="rvps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0280">
        <w:rPr>
          <w:rStyle w:val="st102"/>
          <w:sz w:val="28"/>
          <w:szCs w:val="28"/>
        </w:rPr>
        <w:t>Д</w:t>
      </w:r>
      <w:r w:rsidRPr="00AA0280">
        <w:rPr>
          <w:rStyle w:val="st42"/>
          <w:sz w:val="28"/>
          <w:szCs w:val="28"/>
        </w:rPr>
        <w:t xml:space="preserve"> </w:t>
      </w:r>
      <w:r w:rsidRPr="00AA0280">
        <w:rPr>
          <w:rStyle w:val="st40"/>
          <w:sz w:val="28"/>
          <w:szCs w:val="28"/>
        </w:rPr>
        <w:t>ТВЕ ф і</w:t>
      </w:r>
      <w:r w:rsidRPr="00AA0280">
        <w:rPr>
          <w:rStyle w:val="st42"/>
          <w:sz w:val="28"/>
          <w:szCs w:val="28"/>
        </w:rPr>
        <w:t xml:space="preserve"> </w:t>
      </w:r>
      <w:r w:rsidRPr="00AA0280">
        <w:rPr>
          <w:rStyle w:val="st102"/>
          <w:sz w:val="28"/>
          <w:szCs w:val="28"/>
        </w:rPr>
        <w:t>= О</w:t>
      </w:r>
      <w:r w:rsidRPr="00AA0280">
        <w:rPr>
          <w:rStyle w:val="st42"/>
          <w:sz w:val="28"/>
          <w:szCs w:val="28"/>
        </w:rPr>
        <w:t xml:space="preserve"> </w:t>
      </w:r>
      <w:r w:rsidRPr="00AA0280">
        <w:rPr>
          <w:rStyle w:val="st40"/>
          <w:sz w:val="28"/>
          <w:szCs w:val="28"/>
        </w:rPr>
        <w:t>ТВЕ ф і</w:t>
      </w:r>
      <w:r w:rsidRPr="00AA0280">
        <w:rPr>
          <w:rStyle w:val="st42"/>
          <w:sz w:val="28"/>
          <w:szCs w:val="28"/>
        </w:rPr>
        <w:t xml:space="preserve"> </w:t>
      </w:r>
      <w:r w:rsidRPr="00AA0280">
        <w:rPr>
          <w:rStyle w:val="st102"/>
          <w:sz w:val="28"/>
          <w:szCs w:val="28"/>
        </w:rPr>
        <w:t>х Ц</w:t>
      </w:r>
      <w:r w:rsidRPr="00AA0280">
        <w:rPr>
          <w:rStyle w:val="st40"/>
          <w:sz w:val="28"/>
          <w:szCs w:val="28"/>
        </w:rPr>
        <w:t>ТВЕ і</w:t>
      </w:r>
      <w:r>
        <w:rPr>
          <w:rStyle w:val="st42"/>
          <w:sz w:val="28"/>
          <w:szCs w:val="28"/>
        </w:rPr>
        <w:t>;</w:t>
      </w:r>
    </w:p>
    <w:p w:rsidR="00916E1B" w:rsidRPr="00AA0280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2</w:t>
      </w:r>
      <w:r w:rsidR="00AA0280">
        <w:rPr>
          <w:sz w:val="28"/>
          <w:szCs w:val="28"/>
        </w:rPr>
        <w:t>3</w:t>
      </w:r>
      <w:r w:rsidRPr="008D4CE4">
        <w:rPr>
          <w:sz w:val="28"/>
          <w:szCs w:val="28"/>
        </w:rPr>
        <w:t>) обсяги та вартість продажу електричної енергії на сегментах ринку електричної енергії, надлишково придбаної для компенсації технологічних витрат електричної енергії на її розподіл. Розрахунок здійснюється за звітний рік помісячно;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661A03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280">
        <w:rPr>
          <w:sz w:val="28"/>
          <w:szCs w:val="28"/>
        </w:rPr>
        <w:t>4</w:t>
      </w:r>
      <w:r w:rsidR="00916E1B" w:rsidRPr="008D4CE4">
        <w:rPr>
          <w:sz w:val="28"/>
          <w:szCs w:val="28"/>
        </w:rPr>
        <w:t>) фактичні витрати, понесені у звітному році, на сплату банківських відсотків (але не вище облікової ставки НБУ) по кредитних коштах, залучених у банківських установах, для покриття різниці між вартістю заходів з приєднань, виконаних у звітному році, та сумою, отриманою від замовників послуги з приєднання. При цьому заходи по таки</w:t>
      </w:r>
      <w:r w:rsidR="00916E1B">
        <w:rPr>
          <w:sz w:val="28"/>
          <w:szCs w:val="28"/>
        </w:rPr>
        <w:t>х</w:t>
      </w:r>
      <w:r w:rsidR="00916E1B" w:rsidRPr="008D4CE4">
        <w:rPr>
          <w:sz w:val="28"/>
          <w:szCs w:val="28"/>
        </w:rPr>
        <w:t xml:space="preserve"> приєднання</w:t>
      </w:r>
      <w:r w:rsidR="00916E1B">
        <w:rPr>
          <w:sz w:val="28"/>
          <w:szCs w:val="28"/>
        </w:rPr>
        <w:t>х</w:t>
      </w:r>
      <w:r w:rsidR="00916E1B" w:rsidRPr="008D4CE4">
        <w:rPr>
          <w:sz w:val="28"/>
          <w:szCs w:val="28"/>
        </w:rPr>
        <w:t xml:space="preserve"> мають бути включені до інвестиційної програми ліцензіата та виконані в повному обсязі;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AA0280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08BF">
        <w:rPr>
          <w:rFonts w:ascii="Times New Roman" w:hAnsi="Times New Roman"/>
          <w:sz w:val="28"/>
          <w:szCs w:val="28"/>
        </w:rPr>
        <w:t>2</w:t>
      </w:r>
      <w:r w:rsidR="00AA0280">
        <w:rPr>
          <w:rFonts w:ascii="Times New Roman" w:hAnsi="Times New Roman"/>
          <w:sz w:val="28"/>
          <w:szCs w:val="28"/>
        </w:rPr>
        <w:t>5</w:t>
      </w:r>
      <w:r w:rsidRPr="006108BF">
        <w:rPr>
          <w:rFonts w:ascii="Times New Roman" w:hAnsi="Times New Roman"/>
          <w:sz w:val="28"/>
          <w:szCs w:val="28"/>
        </w:rPr>
        <w:t>) сума коштів, сплачена споживачами у звітному році за необліковану електричну енергію (в частині оплати послуг з розподілу електричної енергії) внаслідок порушень Правил</w:t>
      </w:r>
      <w:r w:rsidRPr="00893F20">
        <w:rPr>
          <w:rFonts w:ascii="Times New Roman" w:hAnsi="Times New Roman"/>
          <w:sz w:val="28"/>
          <w:szCs w:val="28"/>
        </w:rPr>
        <w:t xml:space="preserve"> роздрібного ринку електричної енергії</w:t>
      </w:r>
      <w:r w:rsidRPr="008D4CE4">
        <w:rPr>
          <w:rFonts w:ascii="Times New Roman" w:hAnsi="Times New Roman"/>
          <w:sz w:val="28"/>
          <w:szCs w:val="28"/>
        </w:rPr>
        <w:t>, затверджених постановою Національної комісії, що здійснює державне регулювання у сферах енергетики та комунальних послуг, від 14</w:t>
      </w:r>
      <w:r>
        <w:rPr>
          <w:rFonts w:ascii="Times New Roman" w:hAnsi="Times New Roman"/>
          <w:sz w:val="28"/>
          <w:szCs w:val="28"/>
        </w:rPr>
        <w:t> </w:t>
      </w:r>
      <w:r w:rsidRPr="008D4CE4">
        <w:rPr>
          <w:rFonts w:ascii="Times New Roman" w:hAnsi="Times New Roman"/>
          <w:sz w:val="28"/>
          <w:szCs w:val="28"/>
        </w:rPr>
        <w:t>березня  2018</w:t>
      </w:r>
      <w:r>
        <w:rPr>
          <w:rFonts w:ascii="Times New Roman" w:hAnsi="Times New Roman"/>
          <w:sz w:val="28"/>
          <w:szCs w:val="28"/>
        </w:rPr>
        <w:t> </w:t>
      </w:r>
      <w:r w:rsidRPr="008D4CE4">
        <w:rPr>
          <w:rFonts w:ascii="Times New Roman" w:hAnsi="Times New Roman"/>
          <w:sz w:val="28"/>
          <w:szCs w:val="28"/>
        </w:rPr>
        <w:t xml:space="preserve">року № 312 (далі </w:t>
      </w:r>
      <w:r>
        <w:rPr>
          <w:rFonts w:ascii="Times New Roman" w:hAnsi="Times New Roman"/>
          <w:sz w:val="28"/>
          <w:szCs w:val="28"/>
        </w:rPr>
        <w:t>–</w:t>
      </w:r>
      <w:r w:rsidRPr="008D4CE4">
        <w:rPr>
          <w:rFonts w:ascii="Times New Roman" w:hAnsi="Times New Roman"/>
          <w:sz w:val="28"/>
          <w:szCs w:val="28"/>
        </w:rPr>
        <w:t xml:space="preserve"> ПРРЕЕ)</w:t>
      </w:r>
      <w:r w:rsidR="00AA0280" w:rsidRPr="00AA0280">
        <w:t xml:space="preserve"> </w:t>
      </w:r>
      <w:r w:rsidR="00AA0280" w:rsidRPr="00AA0280">
        <w:rPr>
          <w:rStyle w:val="st42"/>
          <w:rFonts w:ascii="Times New Roman" w:hAnsi="Times New Roman"/>
          <w:sz w:val="28"/>
          <w:szCs w:val="28"/>
        </w:rPr>
        <w:t>(з урахуванням рівня тарифу, який діяв у місяці сплати)</w:t>
      </w:r>
      <w:r w:rsidRPr="00AA0280">
        <w:rPr>
          <w:rFonts w:ascii="Times New Roman" w:hAnsi="Times New Roman"/>
          <w:sz w:val="28"/>
          <w:szCs w:val="28"/>
        </w:rPr>
        <w:t>;</w:t>
      </w:r>
      <w:r w:rsidRPr="00AA028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6E1B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D4CE4">
        <w:rPr>
          <w:rFonts w:ascii="Times New Roman" w:hAnsi="Times New Roman"/>
          <w:sz w:val="28"/>
          <w:szCs w:val="28"/>
          <w:lang w:eastAsia="uk-UA"/>
        </w:rPr>
        <w:t>2</w:t>
      </w:r>
      <w:r w:rsidR="00AA0280">
        <w:rPr>
          <w:rFonts w:ascii="Times New Roman" w:hAnsi="Times New Roman"/>
          <w:sz w:val="28"/>
          <w:szCs w:val="28"/>
          <w:lang w:eastAsia="uk-UA"/>
        </w:rPr>
        <w:t>6</w:t>
      </w:r>
      <w:r w:rsidRPr="008D4CE4">
        <w:rPr>
          <w:rFonts w:ascii="Times New Roman" w:hAnsi="Times New Roman"/>
          <w:sz w:val="28"/>
          <w:szCs w:val="28"/>
          <w:lang w:eastAsia="uk-UA"/>
        </w:rPr>
        <w:t>) дохід, отриманий від реалізації</w:t>
      </w:r>
      <w:r w:rsidR="007512D2">
        <w:rPr>
          <w:rFonts w:ascii="Times New Roman" w:hAnsi="Times New Roman"/>
          <w:sz w:val="28"/>
          <w:szCs w:val="28"/>
          <w:lang w:eastAsia="uk-UA"/>
        </w:rPr>
        <w:t xml:space="preserve"> товарно-матеріальних цінностей</w:t>
      </w:r>
      <w:r w:rsidR="007512D2" w:rsidRPr="007512D2">
        <w:rPr>
          <w:rStyle w:val="st42"/>
          <w:rFonts w:ascii="Times New Roman" w:hAnsi="Times New Roman"/>
          <w:sz w:val="28"/>
          <w:szCs w:val="28"/>
        </w:rPr>
        <w:t>, що були у використанні,</w:t>
      </w:r>
      <w:r w:rsidRPr="007512D2">
        <w:rPr>
          <w:rFonts w:ascii="Times New Roman" w:hAnsi="Times New Roman"/>
          <w:sz w:val="28"/>
          <w:szCs w:val="28"/>
          <w:lang w:eastAsia="uk-UA"/>
        </w:rPr>
        <w:t xml:space="preserve"> у тому числі металобрухту, від діяльності з розпод</w:t>
      </w:r>
      <w:r w:rsidRPr="008D4CE4">
        <w:rPr>
          <w:rFonts w:ascii="Times New Roman" w:hAnsi="Times New Roman"/>
          <w:sz w:val="28"/>
          <w:szCs w:val="28"/>
          <w:lang w:eastAsia="uk-UA"/>
        </w:rPr>
        <w:t>ілу електричної енергії;</w:t>
      </w:r>
    </w:p>
    <w:p w:rsidR="00916E1B" w:rsidRPr="008D4CE4" w:rsidRDefault="00916E1B" w:rsidP="00324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2</w:t>
      </w:r>
      <w:r w:rsidR="00AA0280">
        <w:rPr>
          <w:sz w:val="28"/>
          <w:szCs w:val="28"/>
        </w:rPr>
        <w:t>7</w:t>
      </w:r>
      <w:r w:rsidRPr="008D4CE4">
        <w:rPr>
          <w:sz w:val="28"/>
          <w:szCs w:val="28"/>
        </w:rPr>
        <w:t>) результати перевірки правильності розподілу умовних одиниць між класами напруги. Розподіл має відповідати нормам пункту 8.2 глави 8 Порядку встановлення (формування) тарифів на послуги з розподілу електричної енергії, затвердженого постановою НКРЕКП від 05</w:t>
      </w:r>
      <w:r>
        <w:rPr>
          <w:sz w:val="28"/>
          <w:szCs w:val="28"/>
        </w:rPr>
        <w:t xml:space="preserve"> жовтня </w:t>
      </w:r>
      <w:r w:rsidRPr="008D4CE4">
        <w:rPr>
          <w:sz w:val="28"/>
          <w:szCs w:val="28"/>
        </w:rPr>
        <w:t>2018</w:t>
      </w:r>
      <w:r>
        <w:rPr>
          <w:sz w:val="28"/>
          <w:szCs w:val="28"/>
        </w:rPr>
        <w:t> року</w:t>
      </w:r>
      <w:r w:rsidRPr="008D4CE4">
        <w:rPr>
          <w:sz w:val="28"/>
          <w:szCs w:val="28"/>
        </w:rPr>
        <w:t xml:space="preserve"> № 1175. 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5. Загальна сума додатково отриманого або недоотриманого доходу від ліцензованої діяльності у звітному році визначається як сума таких складових:</w:t>
      </w:r>
    </w:p>
    <w:p w:rsidR="007512D2" w:rsidRDefault="007512D2" w:rsidP="007512D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12D2" w:rsidRPr="007512D2" w:rsidRDefault="007512D2" w:rsidP="007512D2">
      <w:pPr>
        <w:pStyle w:val="rvps2"/>
        <w:shd w:val="clear" w:color="auto" w:fill="FFFFFF"/>
        <w:spacing w:before="0" w:beforeAutospacing="0" w:after="0" w:afterAutospacing="0"/>
        <w:jc w:val="both"/>
        <w:rPr>
          <w:rStyle w:val="st42"/>
          <w:sz w:val="28"/>
          <w:szCs w:val="28"/>
        </w:rPr>
      </w:pPr>
      <w:r>
        <w:rPr>
          <w:rStyle w:val="st42"/>
          <w:sz w:val="28"/>
          <w:szCs w:val="28"/>
        </w:rPr>
        <w:lastRenderedPageBreak/>
        <w:t xml:space="preserve">          </w:t>
      </w:r>
      <w:r w:rsidRPr="007512D2">
        <w:rPr>
          <w:rStyle w:val="st42"/>
          <w:sz w:val="28"/>
          <w:szCs w:val="28"/>
        </w:rPr>
        <w:t>1) сума невиконання інвестиційної програми на звітний рік</w:t>
      </w:r>
      <w:r w:rsidR="002645C7">
        <w:rPr>
          <w:rStyle w:val="st42"/>
        </w:rPr>
        <w:t xml:space="preserve">. </w:t>
      </w:r>
      <w:r w:rsidR="002645C7" w:rsidRPr="002645C7">
        <w:rPr>
          <w:rStyle w:val="st42"/>
          <w:color w:val="auto"/>
          <w:sz w:val="28"/>
          <w:szCs w:val="28"/>
        </w:rPr>
        <w:t xml:space="preserve">Сума невиконання інвестиційної програми на звітний рік за результатами діяльності 2022 року визначається з урахуванням положень </w:t>
      </w:r>
      <w:r w:rsidR="002645C7" w:rsidRPr="002645C7">
        <w:rPr>
          <w:rStyle w:val="st910"/>
          <w:color w:val="auto"/>
          <w:sz w:val="28"/>
          <w:szCs w:val="28"/>
        </w:rPr>
        <w:t>Тимчасового порядку дій операторів систем розподілу з відновлення електропостачання населених пунктів, знеструмлених через пошкодження об’єктів електричних мереж або їх складових внаслідок бойових дій, у період дії в Україні воєнного стану</w:t>
      </w:r>
      <w:r w:rsidR="002645C7" w:rsidRPr="002645C7">
        <w:rPr>
          <w:rStyle w:val="st42"/>
          <w:color w:val="auto"/>
          <w:sz w:val="28"/>
          <w:szCs w:val="28"/>
        </w:rPr>
        <w:t>, затвердженого постановою НКРЕКП від 20 квітня 2022 року № 386</w:t>
      </w:r>
      <w:r w:rsidRPr="007512D2">
        <w:rPr>
          <w:rStyle w:val="st42"/>
          <w:sz w:val="28"/>
          <w:szCs w:val="28"/>
        </w:rPr>
        <w:t>;</w:t>
      </w:r>
    </w:p>
    <w:p w:rsidR="007512D2" w:rsidRPr="007512D2" w:rsidRDefault="007512D2" w:rsidP="007512D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 xml:space="preserve">2) додатково отриманий (недоотриманий) дохід ліцензіата внаслідок збільшення (зменшення) фактичних обсягів розподілу електричної енергії ліцензіата порівняно з обсягами розподілу електричної енергії  ліцензіатів, </w:t>
      </w:r>
      <w:r>
        <w:rPr>
          <w:sz w:val="28"/>
          <w:szCs w:val="28"/>
        </w:rPr>
        <w:t>у</w:t>
      </w:r>
      <w:r w:rsidRPr="008D4CE4">
        <w:rPr>
          <w:sz w:val="28"/>
          <w:szCs w:val="28"/>
        </w:rPr>
        <w:t xml:space="preserve">рахованими </w:t>
      </w:r>
      <w:r>
        <w:rPr>
          <w:sz w:val="28"/>
          <w:szCs w:val="28"/>
        </w:rPr>
        <w:t>в</w:t>
      </w:r>
      <w:r w:rsidRPr="008D4CE4">
        <w:rPr>
          <w:sz w:val="28"/>
          <w:szCs w:val="28"/>
        </w:rPr>
        <w:t xml:space="preserve"> затвердженій структурі тарифів на послуги з розподілу електричної енергії, з урахуванням очікуваного додаткового (недоотриманого) доходу від збільшення (зменшення) обсягів з розподілу електричної енергії у звітному році, який вже було враховано у структурах тарифів;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 xml:space="preserve">3) додатково отриманий (недоотриманий) дохід за </w:t>
      </w:r>
      <w:proofErr w:type="spellStart"/>
      <w:r w:rsidRPr="008D4CE4">
        <w:rPr>
          <w:sz w:val="28"/>
          <w:szCs w:val="28"/>
        </w:rPr>
        <w:t>перетоки</w:t>
      </w:r>
      <w:proofErr w:type="spellEnd"/>
      <w:r w:rsidRPr="008D4CE4">
        <w:rPr>
          <w:sz w:val="28"/>
          <w:szCs w:val="28"/>
        </w:rPr>
        <w:t xml:space="preserve"> реактивної електричної </w:t>
      </w:r>
      <w:r>
        <w:rPr>
          <w:sz w:val="28"/>
          <w:szCs w:val="28"/>
        </w:rPr>
        <w:t xml:space="preserve">енергії </w:t>
      </w:r>
      <w:r w:rsidRPr="008D4CE4">
        <w:rPr>
          <w:sz w:val="28"/>
          <w:szCs w:val="28"/>
        </w:rPr>
        <w:t>(</w:t>
      </w:r>
      <w:proofErr w:type="spellStart"/>
      <w:r w:rsidRPr="008D4CE4">
        <w:rPr>
          <w:sz w:val="28"/>
          <w:szCs w:val="28"/>
        </w:rPr>
        <w:t>Др</w:t>
      </w:r>
      <w:proofErr w:type="spellEnd"/>
      <w:r w:rsidRPr="008D4CE4">
        <w:rPr>
          <w:sz w:val="28"/>
          <w:szCs w:val="28"/>
        </w:rPr>
        <w:t>);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4) додатково отриманий (недоотриманий) дохід від економії технологічних витрат електричної енергії, що визначається за формулою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7275" cy="240030"/>
            <wp:effectExtent l="0" t="0" r="0" b="0"/>
            <wp:docPr id="12" name="Рисунок 28" descr="Описание: https://zakon.rada.gov.ua/laws/file/imgs/80/p476288n473-15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zakon.rada.gov.ua/laws/file/imgs/80/p476288n473-15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41757F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055">
        <w:rPr>
          <w:sz w:val="28"/>
          <w:szCs w:val="28"/>
        </w:rPr>
        <w:t>де Д</w:t>
      </w:r>
      <w:r w:rsidRPr="00A16055">
        <w:rPr>
          <w:sz w:val="28"/>
          <w:szCs w:val="28"/>
          <w:vertAlign w:val="subscript"/>
        </w:rPr>
        <w:t xml:space="preserve">ТВЕ ІП </w:t>
      </w:r>
      <w:r w:rsidRPr="00A16055">
        <w:rPr>
          <w:sz w:val="28"/>
          <w:szCs w:val="28"/>
        </w:rPr>
        <w:t>–</w:t>
      </w:r>
      <w:r w:rsidRPr="00A16055">
        <w:rPr>
          <w:sz w:val="28"/>
          <w:szCs w:val="28"/>
          <w:lang w:eastAsia="ru-RU"/>
        </w:rPr>
        <w:t xml:space="preserve"> розмір доходу від економії технологічних витрат електричної енергії за звітний рік, </w:t>
      </w:r>
      <w:r>
        <w:rPr>
          <w:sz w:val="28"/>
          <w:szCs w:val="28"/>
          <w:lang w:eastAsia="ru-RU"/>
        </w:rPr>
        <w:t>у</w:t>
      </w:r>
      <w:r w:rsidRPr="00A16055">
        <w:rPr>
          <w:sz w:val="28"/>
          <w:szCs w:val="28"/>
          <w:lang w:eastAsia="ru-RU"/>
        </w:rPr>
        <w:t>рахований як джерело фінансування інвестиційної програми.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Для цілей розрахунку Д</w:t>
      </w:r>
      <w:r w:rsidRPr="008D4CE4">
        <w:rPr>
          <w:rStyle w:val="rvts40"/>
          <w:bCs/>
          <w:sz w:val="28"/>
          <w:szCs w:val="28"/>
          <w:vertAlign w:val="subscript"/>
        </w:rPr>
        <w:t>ТВЕ</w:t>
      </w:r>
      <w:r w:rsidRPr="008D4CE4">
        <w:rPr>
          <w:sz w:val="28"/>
          <w:szCs w:val="28"/>
        </w:rPr>
        <w:t> приймається рівним нулю, у разі якщо його значення, зафіксоване в акті, менше нуля;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5) сума недофінансування статей витрат (крім статті «витрати, пов’язані з купівлею електричної енергії з метою компенсації технологічних витрат електричної енергії на її розподіл») структури тарифів у звітному році з урахуванням витрат, які були капіталізовані за бухгалтерським обліком;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6) дельта за статтею «витрати, пов’язані з купівлею електричної енергії з метою компенсації технологічних витрат електричної енергії на її розподіл» (</w:t>
      </w:r>
      <w:proofErr w:type="spellStart"/>
      <w:r w:rsidRPr="008D4CE4">
        <w:rPr>
          <w:rStyle w:val="rvts80"/>
          <w:bCs/>
          <w:sz w:val="28"/>
          <w:szCs w:val="28"/>
        </w:rPr>
        <w:t>Δ</w:t>
      </w:r>
      <w:r w:rsidRPr="008D4CE4">
        <w:rPr>
          <w:sz w:val="28"/>
          <w:szCs w:val="28"/>
        </w:rPr>
        <w:t>Д</w:t>
      </w:r>
      <w:r w:rsidRPr="008D4CE4">
        <w:rPr>
          <w:rStyle w:val="rvts37"/>
          <w:bCs/>
          <w:sz w:val="28"/>
          <w:szCs w:val="28"/>
          <w:vertAlign w:val="superscript"/>
        </w:rPr>
        <w:t>н</w:t>
      </w:r>
      <w:r w:rsidRPr="008D4CE4">
        <w:rPr>
          <w:rStyle w:val="rvts40"/>
          <w:bCs/>
          <w:sz w:val="28"/>
          <w:szCs w:val="28"/>
          <w:vertAlign w:val="subscript"/>
        </w:rPr>
        <w:t>ТВЕ</w:t>
      </w:r>
      <w:proofErr w:type="spellEnd"/>
      <w:r w:rsidRPr="008D4CE4">
        <w:rPr>
          <w:sz w:val="28"/>
          <w:szCs w:val="28"/>
        </w:rPr>
        <w:t>), тис.</w:t>
      </w:r>
      <w:r>
        <w:rPr>
          <w:sz w:val="28"/>
          <w:szCs w:val="28"/>
        </w:rPr>
        <w:t xml:space="preserve"> </w:t>
      </w:r>
      <w:r w:rsidRPr="008D4CE4">
        <w:rPr>
          <w:sz w:val="28"/>
          <w:szCs w:val="28"/>
        </w:rPr>
        <w:t>грн, що визначається за формулою</w:t>
      </w:r>
    </w:p>
    <w:p w:rsidR="00916E1B" w:rsidRPr="008D4CE4" w:rsidRDefault="00C743F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6800" cy="581660"/>
            <wp:effectExtent l="0" t="0" r="0" b="0"/>
            <wp:docPr id="13" name="Рисунок 26" descr="Описание: https://zakon.rada.gov.ua/laws/file/imgs/80/p476288n478-17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zakon.rada.gov.ua/laws/file/imgs/80/p476288n478-17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1B" w:rsidRPr="008D4CE4" w:rsidRDefault="00916E1B" w:rsidP="00324F38">
      <w:pPr>
        <w:pStyle w:val="rvps1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16E1B" w:rsidRPr="00CB6E46" w:rsidRDefault="00916E1B" w:rsidP="00D07D6C">
      <w:pPr>
        <w:pStyle w:val="rvps1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ru-RU"/>
        </w:rPr>
      </w:pPr>
      <w:r w:rsidRPr="00CB6E46">
        <w:rPr>
          <w:sz w:val="28"/>
          <w:szCs w:val="28"/>
          <w:lang w:eastAsia="ru-RU"/>
        </w:rPr>
        <w:t>де і – місяць;</w:t>
      </w:r>
    </w:p>
    <w:p w:rsidR="00916E1B" w:rsidRPr="00CB6E46" w:rsidRDefault="00916E1B" w:rsidP="00D07D6C">
      <w:pPr>
        <w:pStyle w:val="rvps1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ru-RU"/>
        </w:rPr>
      </w:pPr>
      <w:r w:rsidRPr="00CB6E46">
        <w:rPr>
          <w:sz w:val="28"/>
          <w:szCs w:val="28"/>
          <w:lang w:eastAsia="ru-RU"/>
        </w:rPr>
        <w:t>n – кількість місяців;</w:t>
      </w:r>
    </w:p>
    <w:p w:rsidR="00916E1B" w:rsidRPr="008D4CE4" w:rsidRDefault="00916E1B" w:rsidP="00D07D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Cs/>
          <w:sz w:val="28"/>
          <w:szCs w:val="28"/>
        </w:rPr>
      </w:pPr>
      <w:r w:rsidRPr="00CB6E46">
        <w:rPr>
          <w:sz w:val="28"/>
          <w:szCs w:val="28"/>
          <w:lang w:eastAsia="ru-RU"/>
        </w:rPr>
        <w:t>Д</w:t>
      </w:r>
      <w:r w:rsidRPr="00CB6E46">
        <w:rPr>
          <w:sz w:val="28"/>
          <w:szCs w:val="28"/>
          <w:vertAlign w:val="subscript"/>
          <w:lang w:eastAsia="ru-RU"/>
        </w:rPr>
        <w:t>ТВЕ</w:t>
      </w:r>
      <w:r>
        <w:rPr>
          <w:sz w:val="28"/>
          <w:szCs w:val="28"/>
          <w:vertAlign w:val="subscript"/>
          <w:lang w:eastAsia="ru-RU"/>
        </w:rPr>
        <w:t xml:space="preserve"> </w:t>
      </w:r>
      <w:r w:rsidRPr="00CB6E46">
        <w:rPr>
          <w:sz w:val="28"/>
          <w:szCs w:val="28"/>
          <w:vertAlign w:val="subscript"/>
          <w:lang w:eastAsia="ru-RU"/>
        </w:rPr>
        <w:t xml:space="preserve">т </w:t>
      </w:r>
      <w:r w:rsidRPr="00CB6E46">
        <w:rPr>
          <w:sz w:val="28"/>
          <w:szCs w:val="28"/>
          <w:lang w:eastAsia="ru-RU"/>
        </w:rPr>
        <w:t>– вартість технологічних витрат електричної енергії, урахована в тарифах на звітний рік, тис. грн</w:t>
      </w:r>
      <w:r>
        <w:rPr>
          <w:sz w:val="28"/>
          <w:szCs w:val="28"/>
          <w:lang w:eastAsia="ru-RU"/>
        </w:rPr>
        <w:t>.</w:t>
      </w:r>
    </w:p>
    <w:p w:rsidR="00916E1B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rStyle w:val="rvts9"/>
          <w:bCs/>
          <w:sz w:val="28"/>
          <w:szCs w:val="28"/>
        </w:rPr>
        <w:lastRenderedPageBreak/>
        <w:t>Д</w:t>
      </w:r>
      <w:r w:rsidRPr="008D4CE4">
        <w:rPr>
          <w:rStyle w:val="rvts40"/>
          <w:bCs/>
          <w:sz w:val="28"/>
          <w:szCs w:val="28"/>
          <w:vertAlign w:val="subscript"/>
        </w:rPr>
        <w:t>ТВЕ</w:t>
      </w:r>
      <w:r w:rsidRPr="008D4CE4">
        <w:rPr>
          <w:sz w:val="28"/>
          <w:szCs w:val="28"/>
        </w:rPr>
        <w:t> </w:t>
      </w:r>
      <w:proofErr w:type="spellStart"/>
      <w:r w:rsidRPr="008D4CE4">
        <w:rPr>
          <w:rStyle w:val="rvts40"/>
          <w:bCs/>
          <w:sz w:val="28"/>
          <w:szCs w:val="28"/>
          <w:vertAlign w:val="subscript"/>
        </w:rPr>
        <w:t>нф</w:t>
      </w:r>
      <w:proofErr w:type="spellEnd"/>
      <w:r w:rsidRPr="008D4CE4">
        <w:rPr>
          <w:rStyle w:val="rvts40"/>
          <w:bCs/>
          <w:sz w:val="28"/>
          <w:szCs w:val="28"/>
          <w:vertAlign w:val="subscript"/>
        </w:rPr>
        <w:t xml:space="preserve"> і </w:t>
      </w:r>
      <w:r w:rsidRPr="008D4CE4">
        <w:rPr>
          <w:sz w:val="28"/>
          <w:szCs w:val="28"/>
        </w:rPr>
        <w:t xml:space="preserve">розраховується до впровадження нового ринку (до 01 липня 2019 року) та після впровадження нового ринку (з 01 липня 2019 року) згідно з відповідними положеннями </w:t>
      </w:r>
      <w:r w:rsidRPr="00893F20">
        <w:rPr>
          <w:sz w:val="28"/>
          <w:szCs w:val="28"/>
        </w:rPr>
        <w:t>підпункту 20</w:t>
      </w:r>
      <w:r w:rsidRPr="008D4CE4">
        <w:rPr>
          <w:sz w:val="28"/>
          <w:szCs w:val="28"/>
        </w:rPr>
        <w:t xml:space="preserve"> пункту 4 цього додатк</w:t>
      </w:r>
      <w:r>
        <w:rPr>
          <w:sz w:val="28"/>
          <w:szCs w:val="28"/>
        </w:rPr>
        <w:t>а</w:t>
      </w:r>
      <w:r w:rsidRPr="008D4CE4">
        <w:rPr>
          <w:sz w:val="28"/>
          <w:szCs w:val="28"/>
        </w:rPr>
        <w:t>;</w:t>
      </w:r>
    </w:p>
    <w:p w:rsidR="00916E1B" w:rsidRPr="008D4CE4" w:rsidRDefault="00916E1B" w:rsidP="00324F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Pr="008D4CE4" w:rsidRDefault="00916E1B" w:rsidP="00324F3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7) сума коштів, сплачена споживачами у звітному році за необліковану електричну енергію (в частині оплати послуг з розподілу електричної енергії) внаслідок порушень </w:t>
      </w:r>
      <w:r w:rsidRPr="00BC7886">
        <w:rPr>
          <w:rFonts w:ascii="Times New Roman" w:hAnsi="Times New Roman"/>
          <w:sz w:val="28"/>
          <w:szCs w:val="28"/>
        </w:rPr>
        <w:t>ПРРЕЕ</w:t>
      </w:r>
      <w:r w:rsidR="00BC7886" w:rsidRPr="00BC7886">
        <w:rPr>
          <w:rFonts w:ascii="Times New Roman" w:hAnsi="Times New Roman"/>
          <w:sz w:val="28"/>
          <w:szCs w:val="28"/>
        </w:rPr>
        <w:t xml:space="preserve"> </w:t>
      </w:r>
      <w:r w:rsidR="00BC7886" w:rsidRPr="00BC7886">
        <w:rPr>
          <w:rStyle w:val="st42"/>
          <w:rFonts w:ascii="Times New Roman" w:hAnsi="Times New Roman"/>
          <w:sz w:val="28"/>
          <w:szCs w:val="28"/>
        </w:rPr>
        <w:t>(з урахуванням рівня тарифу, який діяв у місяці сплати)</w:t>
      </w:r>
      <w:r w:rsidRPr="00BC7886">
        <w:rPr>
          <w:rFonts w:ascii="Times New Roman" w:hAnsi="Times New Roman"/>
          <w:sz w:val="28"/>
          <w:szCs w:val="28"/>
        </w:rPr>
        <w:t>.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6E1B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6. Розмір об’єктивних чинників недофінансування ліцензованої діяльності визначається як сума таких об’єктивних чинників недофінансування ліцензованої діяльності: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1) сума сплаченого податку на прибуток у звітному році в частині здійснення ліцензованої діяльності з розподілу електричної енергії;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2) сплачена у звітному році сума частини чистого прибутку (дивідендів) на державну частку акцій за підсумками попереднього року, що передує звітному року;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3) сума обґрунтованих перевитрат статей витрат (крім статті «витрати, пов’язані з купівлею електричної енергії з метою компенсації технологічних витрат електричної енергії на її розподіл») структури тарифів у звітному році з урахуванням витрат, які були капіталізовані за бухгалтерським обліком;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E1B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4) фактичні витрати, понесені у звітному році, на сплату банківських відсотків (але не вище облікової ставки НБУ) по кредитних коштах, залучених у банківських установах, для покриття різниці між вартістю заходів з приєднань, виконаних у звітному році, та сумою, отриманою від замовників послуги з приєднання. При цьому заходи по таки</w:t>
      </w:r>
      <w:r>
        <w:rPr>
          <w:rFonts w:ascii="Times New Roman" w:hAnsi="Times New Roman"/>
          <w:sz w:val="28"/>
          <w:szCs w:val="28"/>
        </w:rPr>
        <w:t>х</w:t>
      </w:r>
      <w:r w:rsidRPr="008D4CE4">
        <w:rPr>
          <w:rFonts w:ascii="Times New Roman" w:hAnsi="Times New Roman"/>
          <w:sz w:val="28"/>
          <w:szCs w:val="28"/>
        </w:rPr>
        <w:t xml:space="preserve"> приєднання</w:t>
      </w:r>
      <w:r>
        <w:rPr>
          <w:rFonts w:ascii="Times New Roman" w:hAnsi="Times New Roman"/>
          <w:sz w:val="28"/>
          <w:szCs w:val="28"/>
        </w:rPr>
        <w:t>х</w:t>
      </w:r>
      <w:r w:rsidRPr="008D4CE4">
        <w:rPr>
          <w:rFonts w:ascii="Times New Roman" w:hAnsi="Times New Roman"/>
          <w:sz w:val="28"/>
          <w:szCs w:val="28"/>
        </w:rPr>
        <w:t xml:space="preserve"> мають бути включені до інвестиційної програми ліцензіа</w:t>
      </w:r>
      <w:r w:rsidR="002F63DD">
        <w:rPr>
          <w:rFonts w:ascii="Times New Roman" w:hAnsi="Times New Roman"/>
          <w:sz w:val="28"/>
          <w:szCs w:val="28"/>
        </w:rPr>
        <w:t>та та виконані в повному обсязі;</w:t>
      </w:r>
      <w:bookmarkStart w:id="0" w:name="_GoBack"/>
      <w:bookmarkEnd w:id="0"/>
    </w:p>
    <w:p w:rsidR="00302F96" w:rsidRDefault="00302F96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2F96" w:rsidRPr="00302F96" w:rsidRDefault="00302F96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F96">
        <w:rPr>
          <w:rStyle w:val="st42"/>
          <w:rFonts w:ascii="Times New Roman" w:hAnsi="Times New Roman"/>
          <w:sz w:val="28"/>
          <w:szCs w:val="28"/>
        </w:rPr>
        <w:t>5) вартості понаднормативних витрат електричної енергії за 2022 рік у випадку перевищення фактичних економічних коефіцієнтів технологічних витрат електроенергії за 2022 рік від затверджених економічних коефіцієнтів прогнозованих технологічних витрат електричної енергії на 2022 рік більше ніж на 10%, з урахуванням належного обґрунтування з наданням документального підтвердження від відповідних організацій;</w:t>
      </w:r>
    </w:p>
    <w:p w:rsidR="00BC7886" w:rsidRDefault="00BC7886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7886" w:rsidRPr="00BC7886" w:rsidRDefault="00302F96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B95">
        <w:rPr>
          <w:rStyle w:val="st42"/>
          <w:rFonts w:ascii="Times New Roman" w:hAnsi="Times New Roman"/>
          <w:sz w:val="28"/>
          <w:szCs w:val="28"/>
        </w:rPr>
        <w:t>6</w:t>
      </w:r>
      <w:r w:rsidR="00BC7886" w:rsidRPr="00BC7886">
        <w:rPr>
          <w:rStyle w:val="st42"/>
          <w:rFonts w:ascii="Times New Roman" w:hAnsi="Times New Roman"/>
          <w:sz w:val="28"/>
          <w:szCs w:val="28"/>
        </w:rPr>
        <w:t>) сума недоплати постачальником «останньої надії» за послуги з розподілу електричної енергії, що визначається як різниця між сумою нарахувань за звітний рік за послуги з розподілу електричної енергії для споживачів, електричну енергію для яких постачає постачальник «останньої надії, та сумою коштів, сплаченою постачальником «останньої надії» за розподіл електричної енергії ОСР протягом звітного року.</w:t>
      </w:r>
    </w:p>
    <w:p w:rsidR="00916E1B" w:rsidRPr="008D4CE4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E1B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7. Підсумкова сума надлишково отриманого або недоотриманого доходу від здійснення ліцензованої діяльності у звітному році визначається як різниця між сумою, розрахованою відповідно до пункту 5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8D4CE4">
        <w:rPr>
          <w:rFonts w:ascii="Times New Roman" w:hAnsi="Times New Roman"/>
          <w:sz w:val="28"/>
          <w:szCs w:val="28"/>
        </w:rPr>
        <w:t>, та розміром об’єктивних чинників недофінансування ліцензованої діяльності, зазначених у пункті 6 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8D4CE4">
        <w:rPr>
          <w:rFonts w:ascii="Times New Roman" w:hAnsi="Times New Roman"/>
          <w:sz w:val="28"/>
          <w:szCs w:val="28"/>
        </w:rPr>
        <w:t>.</w:t>
      </w:r>
    </w:p>
    <w:p w:rsidR="00916E1B" w:rsidRPr="008D4CE4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7886" w:rsidRPr="00BC7886" w:rsidRDefault="00BC7886" w:rsidP="00BC7886">
      <w:pPr>
        <w:pStyle w:val="st2"/>
        <w:rPr>
          <w:rStyle w:val="st42"/>
          <w:sz w:val="28"/>
          <w:szCs w:val="28"/>
        </w:rPr>
      </w:pPr>
      <w:r w:rsidRPr="00BC7886">
        <w:rPr>
          <w:rStyle w:val="st42"/>
          <w:sz w:val="28"/>
          <w:szCs w:val="28"/>
        </w:rPr>
        <w:t xml:space="preserve">8. Позитивна сума, визначена згідно з пунктом 7 цього додатка, коригується на індекс споживчих цін на товари та послуги з грудня звітного року до грудня попереднього року (використовується інформація, оприлюднена на офіційному </w:t>
      </w:r>
      <w:proofErr w:type="spellStart"/>
      <w:r w:rsidRPr="00BC7886">
        <w:rPr>
          <w:rStyle w:val="st42"/>
          <w:sz w:val="28"/>
          <w:szCs w:val="28"/>
        </w:rPr>
        <w:t>вебсайті</w:t>
      </w:r>
      <w:proofErr w:type="spellEnd"/>
      <w:r w:rsidRPr="00BC7886">
        <w:rPr>
          <w:rStyle w:val="st42"/>
          <w:sz w:val="28"/>
          <w:szCs w:val="28"/>
        </w:rPr>
        <w:t xml:space="preserve"> Державної служби статистики України) та визначається як джерело фінансування інвестиційної програми за умови, що сума невиконання інвестиційної програми не більше 5 %.</w:t>
      </w:r>
    </w:p>
    <w:p w:rsidR="00916E1B" w:rsidRDefault="00BC7886" w:rsidP="00BC7886">
      <w:pPr>
        <w:pStyle w:val="a3"/>
        <w:spacing w:after="0" w:line="240" w:lineRule="auto"/>
        <w:ind w:left="0" w:firstLine="709"/>
        <w:jc w:val="both"/>
        <w:rPr>
          <w:rStyle w:val="st42"/>
          <w:rFonts w:ascii="Times New Roman" w:hAnsi="Times New Roman"/>
          <w:sz w:val="28"/>
          <w:szCs w:val="28"/>
        </w:rPr>
      </w:pPr>
      <w:r w:rsidRPr="00BC7886">
        <w:rPr>
          <w:rStyle w:val="st42"/>
          <w:rFonts w:ascii="Times New Roman" w:hAnsi="Times New Roman"/>
          <w:sz w:val="28"/>
          <w:szCs w:val="28"/>
        </w:rPr>
        <w:t>В іншому випадку така сума підлягає вилученню зі структури тарифів ліцензіата.</w:t>
      </w:r>
    </w:p>
    <w:p w:rsidR="00BC7886" w:rsidRPr="00BC7886" w:rsidRDefault="00BC7886" w:rsidP="00BC78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E1B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9. Від’ємна сума, визначена згідно з пунктом 7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8D4CE4">
        <w:rPr>
          <w:rFonts w:ascii="Times New Roman" w:hAnsi="Times New Roman"/>
          <w:sz w:val="28"/>
          <w:szCs w:val="28"/>
        </w:rPr>
        <w:t xml:space="preserve">, коригується на індекс споживчих цін на товари та послуги з грудня звітного року до грудня попереднього року (використовується інформація, оприлюднена на офіційному </w:t>
      </w:r>
      <w:proofErr w:type="spellStart"/>
      <w:r w:rsidRPr="008D4CE4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8D4CE4">
        <w:rPr>
          <w:rFonts w:ascii="Times New Roman" w:hAnsi="Times New Roman"/>
          <w:sz w:val="28"/>
          <w:szCs w:val="28"/>
        </w:rPr>
        <w:t xml:space="preserve"> Державної служби статистики України) та підлягає включенню до структури тарифів ліцензіата.</w:t>
      </w:r>
    </w:p>
    <w:p w:rsidR="002A2B95" w:rsidRDefault="002A2B95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2B95" w:rsidRPr="002A2B95" w:rsidRDefault="002A2B95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B95">
        <w:rPr>
          <w:rStyle w:val="st42"/>
          <w:rFonts w:ascii="Times New Roman" w:hAnsi="Times New Roman"/>
          <w:sz w:val="28"/>
          <w:szCs w:val="28"/>
        </w:rPr>
        <w:t>10. При здійсненні заходів контролю за результатами діяльності з розподілу електричної енергії у 2022 році підсумкова сума надлишково отриманого або недоотриманого доходу від здійснення ліцензованої діяльності у звітному році, визначена згідно з пунктом 7 цього додатка, не коригується на індекс споживчих цін на товари та послуги.</w:t>
      </w:r>
    </w:p>
    <w:p w:rsidR="00916E1B" w:rsidRPr="008D4CE4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E1B" w:rsidRPr="008D4CE4" w:rsidRDefault="002A2B95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6E1B" w:rsidRPr="008D4CE4">
        <w:rPr>
          <w:sz w:val="28"/>
          <w:szCs w:val="28"/>
        </w:rPr>
        <w:t>. Сума необ’єктивного перевищення вартості заходів інвестиційної програми на звітний рік фіксується в акті перевірки та визначається як різниця між фактичною вартістю, що склалась за підсумками виконання інвестиційної програми, та граничним рівнем вартості. Гранична вартість визначається як добуток вартості заходу, передбаченої в інвестиційній програмі, та коефіцієнта 1,10 (10 %).</w:t>
      </w:r>
    </w:p>
    <w:p w:rsidR="00916E1B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E4">
        <w:rPr>
          <w:rFonts w:ascii="Times New Roman" w:hAnsi="Times New Roman"/>
          <w:sz w:val="28"/>
          <w:szCs w:val="28"/>
        </w:rPr>
        <w:t>Визначена сума необ’єктивного перевищення вартості заходів інвестиційної програми підлягає вилученню зі структури тарифів ліцензіата.</w:t>
      </w:r>
    </w:p>
    <w:p w:rsidR="00916E1B" w:rsidRPr="008D4CE4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E1B" w:rsidRDefault="002A2B95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16E1B" w:rsidRPr="008D4CE4">
        <w:rPr>
          <w:rFonts w:ascii="Times New Roman" w:hAnsi="Times New Roman"/>
          <w:sz w:val="28"/>
          <w:szCs w:val="28"/>
        </w:rPr>
        <w:t>. Обсяг фінансування інвестиційної програми на рік, що є наступним за звітним роком, збільшується в установленому порядку на суму зекономлених при виконанні інвестиційної програми у звітному році коштів (тобто залишку коштів за умови введення об'єкта в експлуатацію), зменшену на суму об'єктивного перевищення вартості заходів (до 5 %)</w:t>
      </w:r>
      <w:r w:rsidR="00916E1B">
        <w:rPr>
          <w:rFonts w:ascii="Times New Roman" w:hAnsi="Times New Roman"/>
          <w:sz w:val="28"/>
          <w:szCs w:val="28"/>
        </w:rPr>
        <w:t>,</w:t>
      </w:r>
      <w:r w:rsidR="00916E1B" w:rsidRPr="008D4CE4">
        <w:rPr>
          <w:rFonts w:ascii="Times New Roman" w:hAnsi="Times New Roman"/>
          <w:sz w:val="28"/>
          <w:szCs w:val="28"/>
        </w:rPr>
        <w:t xml:space="preserve"> у розрізі заходів інвестиційної програми із наданням відповідних обґрунтувань згідно з установленим порядком.</w:t>
      </w:r>
    </w:p>
    <w:p w:rsidR="00916E1B" w:rsidRPr="008D4CE4" w:rsidRDefault="00916E1B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E1B" w:rsidRPr="008D4CE4" w:rsidRDefault="002A2B95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916E1B" w:rsidRPr="008D4CE4">
        <w:rPr>
          <w:sz w:val="28"/>
          <w:szCs w:val="28"/>
        </w:rPr>
        <w:t>. Обсяг фінансування інвестиційної програми на рік, що є наступним за звітним роком, збільшується в такому порядку: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на 50 % суми додатково отриманого доходу, отриманого у звітному році від надання в оренду/суборенду основних засобів (активів), які належать до основної діяльної ліцензіата;</w:t>
      </w:r>
    </w:p>
    <w:p w:rsidR="00916E1B" w:rsidRPr="008D4CE4" w:rsidRDefault="00916E1B" w:rsidP="00132A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CE4">
        <w:rPr>
          <w:sz w:val="28"/>
          <w:szCs w:val="28"/>
        </w:rPr>
        <w:t>на 50 % суми додатково отриманого доходу, отриманого у звітному році від плати за доступ до елементів інфраструктури об’єктів електроенергетики;</w:t>
      </w:r>
    </w:p>
    <w:p w:rsidR="00916E1B" w:rsidRPr="00BC7886" w:rsidRDefault="00BC7886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886">
        <w:rPr>
          <w:rStyle w:val="st42"/>
          <w:rFonts w:ascii="Times New Roman" w:hAnsi="Times New Roman"/>
          <w:sz w:val="28"/>
          <w:szCs w:val="28"/>
        </w:rPr>
        <w:t>на 100 % доходу, отриманого від реалізації товарно-матеріальних цінностей, що були у використанні, у тому числі металобрухту, від діяльності з розподілу електричної енергії.</w:t>
      </w:r>
    </w:p>
    <w:p w:rsidR="001B4F1D" w:rsidRDefault="001B4F1D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4F1D" w:rsidRDefault="001B4F1D" w:rsidP="00132A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4F1D" w:rsidRPr="002A2B95" w:rsidRDefault="001B4F1D" w:rsidP="00B4523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404040" w:themeColor="text1" w:themeTint="BF"/>
          <w:sz w:val="32"/>
          <w:szCs w:val="28"/>
        </w:rPr>
      </w:pPr>
      <w:r w:rsidRPr="002A2B95">
        <w:rPr>
          <w:rStyle w:val="st46"/>
          <w:rFonts w:ascii="Times New Roman" w:hAnsi="Times New Roman"/>
          <w:color w:val="404040" w:themeColor="text1" w:themeTint="BF"/>
          <w:sz w:val="24"/>
        </w:rPr>
        <w:t xml:space="preserve">{Порядок доповнено новим Додатком згідно з Постановою Національної комісії, що здійснює державне регулювання у сферах енергетики та комунальних послуг </w:t>
      </w:r>
      <w:r w:rsidRPr="002A2B95">
        <w:rPr>
          <w:rStyle w:val="st131"/>
          <w:rFonts w:ascii="Times New Roman" w:hAnsi="Times New Roman"/>
          <w:color w:val="404040" w:themeColor="text1" w:themeTint="BF"/>
          <w:sz w:val="24"/>
        </w:rPr>
        <w:t>№ 601 від 11.03.2020</w:t>
      </w:r>
      <w:r w:rsidRPr="002A2B95">
        <w:rPr>
          <w:rStyle w:val="st46"/>
          <w:rFonts w:ascii="Times New Roman" w:hAnsi="Times New Roman"/>
          <w:color w:val="404040" w:themeColor="text1" w:themeTint="BF"/>
          <w:sz w:val="24"/>
        </w:rPr>
        <w:t xml:space="preserve">; в редакції Постанови Національної комісії, що здійснює державне регулювання у сферах енергетики та комунальних послуг </w:t>
      </w:r>
      <w:r w:rsidRPr="002A2B95">
        <w:rPr>
          <w:rStyle w:val="st131"/>
          <w:rFonts w:ascii="Times New Roman" w:hAnsi="Times New Roman"/>
          <w:color w:val="404040" w:themeColor="text1" w:themeTint="BF"/>
          <w:sz w:val="24"/>
        </w:rPr>
        <w:t>№ 935 від 09.06.2021</w:t>
      </w:r>
      <w:r w:rsidR="00BC7886" w:rsidRPr="002A2B95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; із змінам</w:t>
      </w:r>
      <w:r w:rsidR="002A2B95" w:rsidRPr="002A2B95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и, внесеними згідно з Постановами</w:t>
      </w:r>
      <w:r w:rsidR="00BC7886" w:rsidRPr="002A2B95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 xml:space="preserve"> Національної комісії, що здійснює державне регулювання у сферах енергетики та комунальних послуг № 621 від 21.06.2022</w:t>
      </w:r>
      <w:r w:rsidR="002A2B95" w:rsidRPr="002A2B95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2A2B95" w:rsidRPr="002A2B95">
        <w:rPr>
          <w:rStyle w:val="st13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№ 1782 від 20.12.2022</w:t>
      </w:r>
      <w:r w:rsidRPr="002A2B95">
        <w:rPr>
          <w:rStyle w:val="st46"/>
          <w:rFonts w:ascii="Times New Roman" w:hAnsi="Times New Roman"/>
          <w:color w:val="404040" w:themeColor="text1" w:themeTint="BF"/>
          <w:sz w:val="24"/>
        </w:rPr>
        <w:t>}</w:t>
      </w:r>
    </w:p>
    <w:sectPr w:rsidR="001B4F1D" w:rsidRPr="002A2B95" w:rsidSect="008D4CE4">
      <w:headerReference w:type="default" r:id="rId35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C3" w:rsidRDefault="009904C3" w:rsidP="008D4CE4">
      <w:pPr>
        <w:spacing w:after="0" w:line="240" w:lineRule="auto"/>
      </w:pPr>
      <w:r>
        <w:separator/>
      </w:r>
    </w:p>
  </w:endnote>
  <w:endnote w:type="continuationSeparator" w:id="0">
    <w:p w:rsidR="009904C3" w:rsidRDefault="009904C3" w:rsidP="008D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C3" w:rsidRDefault="009904C3" w:rsidP="008D4CE4">
      <w:pPr>
        <w:spacing w:after="0" w:line="240" w:lineRule="auto"/>
      </w:pPr>
      <w:r>
        <w:separator/>
      </w:r>
    </w:p>
  </w:footnote>
  <w:footnote w:type="continuationSeparator" w:id="0">
    <w:p w:rsidR="009904C3" w:rsidRDefault="009904C3" w:rsidP="008D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1B" w:rsidRDefault="009E74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63DD">
      <w:rPr>
        <w:noProof/>
      </w:rPr>
      <w:t>12</w:t>
    </w:r>
    <w:r>
      <w:rPr>
        <w:noProof/>
      </w:rPr>
      <w:fldChar w:fldCharType="end"/>
    </w:r>
  </w:p>
  <w:p w:rsidR="00916E1B" w:rsidRPr="008D4CE4" w:rsidRDefault="00916E1B" w:rsidP="008D4CE4">
    <w:pPr>
      <w:pStyle w:val="aa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ADC"/>
    <w:multiLevelType w:val="hybridMultilevel"/>
    <w:tmpl w:val="FA4A6A5E"/>
    <w:lvl w:ilvl="0" w:tplc="0FC2D0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A71B0"/>
    <w:multiLevelType w:val="hybridMultilevel"/>
    <w:tmpl w:val="601EC7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44669"/>
    <w:multiLevelType w:val="hybridMultilevel"/>
    <w:tmpl w:val="601EC7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E"/>
    <w:rsid w:val="000337B0"/>
    <w:rsid w:val="00057800"/>
    <w:rsid w:val="000772DD"/>
    <w:rsid w:val="00097A0D"/>
    <w:rsid w:val="000B3F86"/>
    <w:rsid w:val="000C709E"/>
    <w:rsid w:val="000E3F73"/>
    <w:rsid w:val="00106635"/>
    <w:rsid w:val="00112108"/>
    <w:rsid w:val="00132A97"/>
    <w:rsid w:val="00144226"/>
    <w:rsid w:val="001508AD"/>
    <w:rsid w:val="0019476C"/>
    <w:rsid w:val="001A0FDE"/>
    <w:rsid w:val="001A779F"/>
    <w:rsid w:val="001B0FC9"/>
    <w:rsid w:val="001B4F1D"/>
    <w:rsid w:val="00254E7D"/>
    <w:rsid w:val="002645C7"/>
    <w:rsid w:val="002A2B95"/>
    <w:rsid w:val="002B5C8C"/>
    <w:rsid w:val="002F63DD"/>
    <w:rsid w:val="00302F96"/>
    <w:rsid w:val="00324F38"/>
    <w:rsid w:val="00343FC6"/>
    <w:rsid w:val="00353FC5"/>
    <w:rsid w:val="00367E63"/>
    <w:rsid w:val="003718E2"/>
    <w:rsid w:val="00373815"/>
    <w:rsid w:val="00380957"/>
    <w:rsid w:val="0041757F"/>
    <w:rsid w:val="0047220D"/>
    <w:rsid w:val="004768A1"/>
    <w:rsid w:val="004A4866"/>
    <w:rsid w:val="004D6265"/>
    <w:rsid w:val="004D79D3"/>
    <w:rsid w:val="004E1C54"/>
    <w:rsid w:val="005353E9"/>
    <w:rsid w:val="00535BB3"/>
    <w:rsid w:val="005E60B3"/>
    <w:rsid w:val="0060386B"/>
    <w:rsid w:val="006108BF"/>
    <w:rsid w:val="00626C52"/>
    <w:rsid w:val="006518E2"/>
    <w:rsid w:val="00661A03"/>
    <w:rsid w:val="007329CA"/>
    <w:rsid w:val="007512D2"/>
    <w:rsid w:val="00753E8A"/>
    <w:rsid w:val="007543A0"/>
    <w:rsid w:val="007555EF"/>
    <w:rsid w:val="007E0066"/>
    <w:rsid w:val="0080026F"/>
    <w:rsid w:val="008334C7"/>
    <w:rsid w:val="00893F20"/>
    <w:rsid w:val="008962CA"/>
    <w:rsid w:val="008D4CE4"/>
    <w:rsid w:val="008E75EC"/>
    <w:rsid w:val="008F6DD5"/>
    <w:rsid w:val="00916E1B"/>
    <w:rsid w:val="00951B5E"/>
    <w:rsid w:val="009871E4"/>
    <w:rsid w:val="009904C3"/>
    <w:rsid w:val="00996BB8"/>
    <w:rsid w:val="009E743A"/>
    <w:rsid w:val="00A16055"/>
    <w:rsid w:val="00A62FBE"/>
    <w:rsid w:val="00AA0280"/>
    <w:rsid w:val="00AF357D"/>
    <w:rsid w:val="00B45238"/>
    <w:rsid w:val="00BB33E7"/>
    <w:rsid w:val="00BC6D80"/>
    <w:rsid w:val="00BC7886"/>
    <w:rsid w:val="00BF3276"/>
    <w:rsid w:val="00C743FB"/>
    <w:rsid w:val="00CA1D0F"/>
    <w:rsid w:val="00CB6E46"/>
    <w:rsid w:val="00CC1D09"/>
    <w:rsid w:val="00CF657A"/>
    <w:rsid w:val="00D07D6C"/>
    <w:rsid w:val="00DA27A7"/>
    <w:rsid w:val="00DA7F68"/>
    <w:rsid w:val="00DB75AC"/>
    <w:rsid w:val="00E05F2B"/>
    <w:rsid w:val="00E71A68"/>
    <w:rsid w:val="00E740B3"/>
    <w:rsid w:val="00E742BE"/>
    <w:rsid w:val="00E84B7C"/>
    <w:rsid w:val="00F75623"/>
    <w:rsid w:val="00FA5376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03BD"/>
  <w15:docId w15:val="{6E440417-703C-48F4-8C8D-168B357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3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rsid w:val="00324F38"/>
    <w:rPr>
      <w:rFonts w:cs="Times New Roman"/>
    </w:rPr>
  </w:style>
  <w:style w:type="paragraph" w:styleId="a3">
    <w:name w:val="List Paragraph"/>
    <w:basedOn w:val="a"/>
    <w:uiPriority w:val="99"/>
    <w:qFormat/>
    <w:rsid w:val="00324F38"/>
    <w:pPr>
      <w:ind w:left="720"/>
      <w:contextualSpacing/>
    </w:pPr>
  </w:style>
  <w:style w:type="character" w:styleId="a4">
    <w:name w:val="Hyperlink"/>
    <w:basedOn w:val="a0"/>
    <w:uiPriority w:val="99"/>
    <w:semiHidden/>
    <w:rsid w:val="00324F3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2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32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32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324F3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2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24F38"/>
    <w:rPr>
      <w:rFonts w:ascii="Tahoma" w:eastAsia="Times New Roman" w:hAnsi="Tahoma" w:cs="Tahoma"/>
      <w:sz w:val="16"/>
      <w:szCs w:val="16"/>
    </w:rPr>
  </w:style>
  <w:style w:type="character" w:customStyle="1" w:styleId="rvts40">
    <w:name w:val="rvts40"/>
    <w:basedOn w:val="a0"/>
    <w:uiPriority w:val="99"/>
    <w:rsid w:val="00324F38"/>
    <w:rPr>
      <w:rFonts w:cs="Times New Roman"/>
    </w:rPr>
  </w:style>
  <w:style w:type="paragraph" w:styleId="a7">
    <w:name w:val="annotation text"/>
    <w:basedOn w:val="a"/>
    <w:link w:val="a8"/>
    <w:uiPriority w:val="99"/>
    <w:semiHidden/>
    <w:rsid w:val="00324F3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Текст примітки Знак"/>
    <w:basedOn w:val="a0"/>
    <w:link w:val="a7"/>
    <w:uiPriority w:val="99"/>
    <w:semiHidden/>
    <w:locked/>
    <w:rsid w:val="00324F38"/>
    <w:rPr>
      <w:rFonts w:ascii="Times New Roman" w:hAnsi="Times New Roman" w:cs="Times New Roman"/>
      <w:sz w:val="20"/>
      <w:szCs w:val="20"/>
      <w:lang w:val="ru-RU" w:eastAsia="ru-RU"/>
    </w:rPr>
  </w:style>
  <w:style w:type="character" w:styleId="a9">
    <w:name w:val="annotation reference"/>
    <w:basedOn w:val="a0"/>
    <w:uiPriority w:val="99"/>
    <w:semiHidden/>
    <w:rsid w:val="00324F38"/>
    <w:rPr>
      <w:rFonts w:cs="Times New Roman"/>
      <w:sz w:val="16"/>
      <w:szCs w:val="16"/>
    </w:rPr>
  </w:style>
  <w:style w:type="character" w:customStyle="1" w:styleId="rvts80">
    <w:name w:val="rvts80"/>
    <w:basedOn w:val="a0"/>
    <w:uiPriority w:val="99"/>
    <w:rsid w:val="00324F38"/>
    <w:rPr>
      <w:rFonts w:cs="Times New Roman"/>
    </w:rPr>
  </w:style>
  <w:style w:type="character" w:customStyle="1" w:styleId="rvts37">
    <w:name w:val="rvts37"/>
    <w:basedOn w:val="a0"/>
    <w:uiPriority w:val="99"/>
    <w:rsid w:val="00324F38"/>
    <w:rPr>
      <w:rFonts w:cs="Times New Roman"/>
    </w:rPr>
  </w:style>
  <w:style w:type="paragraph" w:styleId="aa">
    <w:name w:val="header"/>
    <w:basedOn w:val="a"/>
    <w:link w:val="ab"/>
    <w:uiPriority w:val="99"/>
    <w:rsid w:val="008D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8D4CE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8D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locked/>
    <w:rsid w:val="008D4CE4"/>
    <w:rPr>
      <w:rFonts w:ascii="Calibri" w:eastAsia="Times New Roman" w:hAnsi="Calibri" w:cs="Times New Roman"/>
    </w:rPr>
  </w:style>
  <w:style w:type="paragraph" w:styleId="ae">
    <w:name w:val="Revision"/>
    <w:hidden/>
    <w:uiPriority w:val="99"/>
    <w:semiHidden/>
    <w:rsid w:val="007E0066"/>
    <w:rPr>
      <w:lang w:val="uk-UA" w:eastAsia="en-US"/>
    </w:rPr>
  </w:style>
  <w:style w:type="character" w:customStyle="1" w:styleId="st131">
    <w:name w:val="st131"/>
    <w:uiPriority w:val="99"/>
    <w:rsid w:val="001B4F1D"/>
    <w:rPr>
      <w:i/>
      <w:iCs/>
      <w:color w:val="0000FF"/>
    </w:rPr>
  </w:style>
  <w:style w:type="character" w:customStyle="1" w:styleId="st46">
    <w:name w:val="st46"/>
    <w:uiPriority w:val="99"/>
    <w:rsid w:val="001B4F1D"/>
    <w:rPr>
      <w:i/>
      <w:iCs/>
      <w:color w:val="000000"/>
    </w:rPr>
  </w:style>
  <w:style w:type="character" w:customStyle="1" w:styleId="st42">
    <w:name w:val="st42"/>
    <w:uiPriority w:val="99"/>
    <w:rsid w:val="00661A03"/>
    <w:rPr>
      <w:color w:val="000000"/>
    </w:rPr>
  </w:style>
  <w:style w:type="paragraph" w:customStyle="1" w:styleId="st2">
    <w:name w:val="st2"/>
    <w:uiPriority w:val="99"/>
    <w:rsid w:val="00AA0280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st3">
    <w:name w:val="st3"/>
    <w:uiPriority w:val="99"/>
    <w:rsid w:val="00AA0280"/>
    <w:pPr>
      <w:autoSpaceDE w:val="0"/>
      <w:autoSpaceDN w:val="0"/>
      <w:adjustRightInd w:val="0"/>
      <w:spacing w:after="150"/>
      <w:ind w:left="450" w:right="450"/>
      <w:jc w:val="center"/>
    </w:pPr>
    <w:rPr>
      <w:rFonts w:ascii="Times New Roman" w:hAnsi="Times New Roman"/>
      <w:sz w:val="24"/>
      <w:szCs w:val="24"/>
      <w:lang w:val="x-none"/>
    </w:rPr>
  </w:style>
  <w:style w:type="paragraph" w:customStyle="1" w:styleId="st4">
    <w:name w:val="st4"/>
    <w:uiPriority w:val="99"/>
    <w:rsid w:val="00AA0280"/>
    <w:pPr>
      <w:autoSpaceDE w:val="0"/>
      <w:autoSpaceDN w:val="0"/>
      <w:adjustRightInd w:val="0"/>
      <w:spacing w:before="300" w:after="150"/>
      <w:jc w:val="center"/>
    </w:pPr>
    <w:rPr>
      <w:rFonts w:ascii="Times New Roman" w:hAnsi="Times New Roman"/>
      <w:sz w:val="24"/>
      <w:szCs w:val="24"/>
      <w:lang w:val="x-none"/>
    </w:rPr>
  </w:style>
  <w:style w:type="paragraph" w:customStyle="1" w:styleId="st12">
    <w:name w:val="st12"/>
    <w:uiPriority w:val="99"/>
    <w:rsid w:val="00AA0280"/>
    <w:pPr>
      <w:autoSpaceDE w:val="0"/>
      <w:autoSpaceDN w:val="0"/>
      <w:adjustRightInd w:val="0"/>
      <w:spacing w:before="150" w:after="150"/>
      <w:jc w:val="center"/>
    </w:pPr>
    <w:rPr>
      <w:rFonts w:ascii="Times New Roman" w:hAnsi="Times New Roman"/>
      <w:sz w:val="24"/>
      <w:szCs w:val="24"/>
      <w:lang w:val="x-none"/>
    </w:rPr>
  </w:style>
  <w:style w:type="paragraph" w:customStyle="1" w:styleId="st14">
    <w:name w:val="st14"/>
    <w:uiPriority w:val="99"/>
    <w:rsid w:val="00AA0280"/>
    <w:pPr>
      <w:autoSpaceDE w:val="0"/>
      <w:autoSpaceDN w:val="0"/>
      <w:adjustRightInd w:val="0"/>
      <w:spacing w:before="150" w:after="150"/>
    </w:pPr>
    <w:rPr>
      <w:rFonts w:ascii="Times New Roman" w:hAnsi="Times New Roman"/>
      <w:sz w:val="24"/>
      <w:szCs w:val="24"/>
      <w:lang w:val="x-none"/>
    </w:rPr>
  </w:style>
  <w:style w:type="character" w:customStyle="1" w:styleId="st102">
    <w:name w:val="st102"/>
    <w:uiPriority w:val="99"/>
    <w:rsid w:val="00AA0280"/>
    <w:rPr>
      <w:b/>
      <w:bCs/>
      <w:color w:val="000000"/>
    </w:rPr>
  </w:style>
  <w:style w:type="character" w:customStyle="1" w:styleId="st30">
    <w:name w:val="st30"/>
    <w:uiPriority w:val="99"/>
    <w:rsid w:val="00AA0280"/>
    <w:rPr>
      <w:b/>
      <w:bCs/>
      <w:color w:val="000000"/>
      <w:sz w:val="32"/>
      <w:szCs w:val="32"/>
      <w:vertAlign w:val="superscript"/>
    </w:rPr>
  </w:style>
  <w:style w:type="character" w:customStyle="1" w:styleId="st40">
    <w:name w:val="st40"/>
    <w:uiPriority w:val="99"/>
    <w:rsid w:val="00AA0280"/>
    <w:rPr>
      <w:b/>
      <w:bCs/>
      <w:color w:val="000000"/>
      <w:sz w:val="32"/>
      <w:szCs w:val="32"/>
      <w:vertAlign w:val="subscript"/>
    </w:rPr>
  </w:style>
  <w:style w:type="paragraph" w:customStyle="1" w:styleId="st1">
    <w:name w:val="st1"/>
    <w:uiPriority w:val="99"/>
    <w:rsid w:val="00BC7886"/>
    <w:pPr>
      <w:autoSpaceDE w:val="0"/>
      <w:autoSpaceDN w:val="0"/>
      <w:adjustRightInd w:val="0"/>
      <w:spacing w:before="150"/>
      <w:jc w:val="center"/>
    </w:pPr>
    <w:rPr>
      <w:rFonts w:ascii="Times New Roman" w:hAnsi="Times New Roman"/>
      <w:sz w:val="24"/>
      <w:szCs w:val="24"/>
      <w:lang w:val="x-none"/>
    </w:rPr>
  </w:style>
  <w:style w:type="character" w:customStyle="1" w:styleId="st121">
    <w:name w:val="st121"/>
    <w:uiPriority w:val="99"/>
    <w:rsid w:val="00BC7886"/>
    <w:rPr>
      <w:i/>
      <w:iCs/>
      <w:color w:val="000000"/>
    </w:rPr>
  </w:style>
  <w:style w:type="character" w:customStyle="1" w:styleId="st910">
    <w:name w:val="st910"/>
    <w:uiPriority w:val="99"/>
    <w:rsid w:val="002645C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file/imgs/80/p476288n425-3.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hyperlink" Target="https://zakon.rada.gov.ua/laws/file/imgs/80/p476288n454-10.e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zakon.rada.gov.ua/laws/file/imgs/80/p476288n416.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zakon.rada.gov.ua/laws/file/imgs/80/p476288n449-6.b" TargetMode="External"/><Relationship Id="rId25" Type="http://schemas.openxmlformats.org/officeDocument/2006/relationships/hyperlink" Target="https://zakon.rada.gov.ua/laws/file/imgs/80/p476288n459-12.b" TargetMode="External"/><Relationship Id="rId33" Type="http://schemas.openxmlformats.org/officeDocument/2006/relationships/hyperlink" Target="https://zakon.rada.gov.ua/laws/file/imgs/80/p476288n478-17.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file/imgs/80/p476288n422-2.e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file/imgs/80/p476288n446-4.b" TargetMode="External"/><Relationship Id="rId23" Type="http://schemas.openxmlformats.org/officeDocument/2006/relationships/hyperlink" Target="https://zakon.rada.gov.ua/laws/file/imgs/80/p476288n457-11.e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zakon.rada.gov.ua/laws/file/imgs/80/p476288n451-7.b" TargetMode="External"/><Relationship Id="rId31" Type="http://schemas.openxmlformats.org/officeDocument/2006/relationships/hyperlink" Target="https://zakon.rada.gov.ua/laws/file/imgs/80/p476288n473-15.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imgs/80/p476288n419-1.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zakon.rada.gov.ua/laws/file/imgs/80/p476288n464-14.b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15417</Words>
  <Characters>8788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Ковбасенко Інна Олегівна</cp:lastModifiedBy>
  <cp:revision>4</cp:revision>
  <cp:lastPrinted>2021-06-02T08:11:00Z</cp:lastPrinted>
  <dcterms:created xsi:type="dcterms:W3CDTF">2023-01-10T08:47:00Z</dcterms:created>
  <dcterms:modified xsi:type="dcterms:W3CDTF">2023-01-10T08:48:00Z</dcterms:modified>
</cp:coreProperties>
</file>