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DF" w:rsidRPr="00D57BFC" w:rsidRDefault="00F101DF" w:rsidP="007976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D57BFC">
        <w:rPr>
          <w:rFonts w:ascii="Times New Roman" w:hAnsi="Times New Roman"/>
          <w:sz w:val="24"/>
          <w:szCs w:val="24"/>
          <w:lang w:eastAsia="uk-UA"/>
        </w:rPr>
        <w:t>Додаток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E7F6F" w:rsidRPr="00AE0C88">
        <w:rPr>
          <w:rFonts w:ascii="Times New Roman" w:hAnsi="Times New Roman"/>
          <w:sz w:val="24"/>
          <w:szCs w:val="24"/>
          <w:lang w:eastAsia="uk-UA"/>
        </w:rPr>
        <w:t>7</w:t>
      </w:r>
    </w:p>
    <w:p w:rsidR="00F101DF" w:rsidRPr="00D57BFC" w:rsidRDefault="00F101DF" w:rsidP="0010019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uk-UA"/>
        </w:rPr>
      </w:pPr>
      <w:r w:rsidRPr="00D57BFC">
        <w:rPr>
          <w:rFonts w:ascii="Times New Roman" w:hAnsi="Times New Roman"/>
          <w:sz w:val="24"/>
          <w:szCs w:val="24"/>
          <w:lang w:eastAsia="uk-UA"/>
        </w:rPr>
        <w:t>до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Порядку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контролю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за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дотриманням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00198">
        <w:rPr>
          <w:rFonts w:ascii="Times New Roman" w:hAnsi="Times New Roman"/>
          <w:sz w:val="24"/>
          <w:szCs w:val="24"/>
          <w:lang w:eastAsia="uk-UA"/>
        </w:rPr>
        <w:br/>
      </w:r>
      <w:r w:rsidRPr="00D57BFC">
        <w:rPr>
          <w:rFonts w:ascii="Times New Roman" w:hAnsi="Times New Roman"/>
          <w:sz w:val="24"/>
          <w:szCs w:val="24"/>
          <w:lang w:eastAsia="uk-UA"/>
        </w:rPr>
        <w:t>ліцензіатами,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що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провадять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діяльність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00198">
        <w:rPr>
          <w:rFonts w:ascii="Times New Roman" w:hAnsi="Times New Roman"/>
          <w:sz w:val="24"/>
          <w:szCs w:val="24"/>
          <w:lang w:eastAsia="uk-UA"/>
        </w:rPr>
        <w:br/>
      </w:r>
      <w:r w:rsidRPr="00D57BFC">
        <w:rPr>
          <w:rFonts w:ascii="Times New Roman" w:hAnsi="Times New Roman"/>
          <w:sz w:val="24"/>
          <w:szCs w:val="24"/>
          <w:lang w:eastAsia="uk-UA"/>
        </w:rPr>
        <w:t>у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сферах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енергетики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та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комунальних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00198">
        <w:rPr>
          <w:rFonts w:ascii="Times New Roman" w:hAnsi="Times New Roman"/>
          <w:sz w:val="24"/>
          <w:szCs w:val="24"/>
          <w:lang w:eastAsia="uk-UA"/>
        </w:rPr>
        <w:br/>
      </w:r>
      <w:r w:rsidRPr="00D57BFC">
        <w:rPr>
          <w:rFonts w:ascii="Times New Roman" w:hAnsi="Times New Roman"/>
          <w:sz w:val="24"/>
          <w:szCs w:val="24"/>
          <w:lang w:eastAsia="uk-UA"/>
        </w:rPr>
        <w:t>послуг,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законодавства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у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відповідних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00198">
        <w:rPr>
          <w:rFonts w:ascii="Times New Roman" w:hAnsi="Times New Roman"/>
          <w:sz w:val="24"/>
          <w:szCs w:val="24"/>
          <w:lang w:eastAsia="uk-UA"/>
        </w:rPr>
        <w:br/>
      </w:r>
      <w:r w:rsidRPr="00D57BFC">
        <w:rPr>
          <w:rFonts w:ascii="Times New Roman" w:hAnsi="Times New Roman"/>
          <w:sz w:val="24"/>
          <w:szCs w:val="24"/>
          <w:lang w:eastAsia="uk-UA"/>
        </w:rPr>
        <w:t>сферах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та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ліцензійних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умов</w:t>
      </w:r>
    </w:p>
    <w:p w:rsidR="00F101DF" w:rsidRPr="00D57BFC" w:rsidRDefault="00F101DF" w:rsidP="007976D3">
      <w:pPr>
        <w:spacing w:after="0" w:line="240" w:lineRule="auto"/>
        <w:ind w:left="5670" w:right="-28"/>
        <w:rPr>
          <w:rFonts w:ascii="Times New Roman" w:hAnsi="Times New Roman"/>
          <w:b/>
          <w:sz w:val="24"/>
          <w:szCs w:val="24"/>
          <w:lang w:eastAsia="ru-RU"/>
        </w:rPr>
      </w:pPr>
      <w:r w:rsidRPr="00D57BFC">
        <w:rPr>
          <w:rFonts w:ascii="Times New Roman" w:hAnsi="Times New Roman"/>
          <w:sz w:val="24"/>
          <w:szCs w:val="24"/>
          <w:lang w:eastAsia="uk-UA"/>
        </w:rPr>
        <w:t>(пункти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3.7,</w:t>
      </w:r>
      <w:r w:rsidR="001001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7BFC">
        <w:rPr>
          <w:rFonts w:ascii="Times New Roman" w:hAnsi="Times New Roman"/>
          <w:sz w:val="24"/>
          <w:szCs w:val="24"/>
          <w:lang w:eastAsia="uk-UA"/>
        </w:rPr>
        <w:t>7.1)</w:t>
      </w:r>
    </w:p>
    <w:p w:rsidR="00F101DF" w:rsidRPr="00D57BFC" w:rsidRDefault="00F101DF" w:rsidP="007976D3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01DF" w:rsidRDefault="00F101DF" w:rsidP="00EB6CB5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BFC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ПИТАНЬ</w:t>
      </w:r>
    </w:p>
    <w:p w:rsidR="00F101DF" w:rsidRPr="00D57BFC" w:rsidRDefault="00F101DF" w:rsidP="00EB6CB5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BFC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дотримання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вимог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законодавства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та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ліцензійних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умов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провадження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господарської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діяльності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виробництва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електричної</w:t>
      </w:r>
      <w:r w:rsidR="00100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BFC">
        <w:rPr>
          <w:rFonts w:ascii="Times New Roman" w:hAnsi="Times New Roman"/>
          <w:b/>
          <w:sz w:val="24"/>
          <w:szCs w:val="24"/>
          <w:lang w:eastAsia="ru-RU"/>
        </w:rPr>
        <w:t>енергії</w:t>
      </w:r>
    </w:p>
    <w:p w:rsidR="00F101DF" w:rsidRPr="00D57BFC" w:rsidRDefault="00F101DF" w:rsidP="0079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208"/>
        <w:gridCol w:w="1842"/>
        <w:gridCol w:w="433"/>
        <w:gridCol w:w="433"/>
        <w:gridCol w:w="433"/>
        <w:gridCol w:w="2858"/>
      </w:tblGrid>
      <w:tr w:rsidR="00100198" w:rsidRPr="00526156" w:rsidTr="00100198">
        <w:trPr>
          <w:jc w:val="center"/>
        </w:trPr>
        <w:tc>
          <w:tcPr>
            <w:tcW w:w="565" w:type="dxa"/>
            <w:vMerge w:val="restart"/>
            <w:vAlign w:val="center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lang w:eastAsia="uk-UA"/>
              </w:rPr>
              <w:t>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Питання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щодо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дотримання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суб’єктом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господарювання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вимог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законодавства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України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ліцензійних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умов</w:t>
            </w:r>
          </w:p>
        </w:tc>
        <w:tc>
          <w:tcPr>
            <w:tcW w:w="0" w:type="auto"/>
            <w:vMerge w:val="restart"/>
            <w:vAlign w:val="center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uk-UA"/>
              </w:rPr>
              <w:t>Позиція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суб’єкта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господарювання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щодо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негативного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впливу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вимоги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законодавства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(від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до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балів)*</w:t>
            </w:r>
          </w:p>
        </w:tc>
        <w:tc>
          <w:tcPr>
            <w:tcW w:w="0" w:type="auto"/>
            <w:gridSpan w:val="3"/>
            <w:vAlign w:val="center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uk-UA"/>
              </w:rPr>
              <w:t>Відповіді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на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питання</w:t>
            </w:r>
          </w:p>
        </w:tc>
        <w:tc>
          <w:tcPr>
            <w:tcW w:w="0" w:type="auto"/>
            <w:vMerge w:val="restart"/>
            <w:vAlign w:val="center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Нормативне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обґрунтування</w:t>
            </w:r>
          </w:p>
        </w:tc>
      </w:tr>
      <w:tr w:rsidR="00100198" w:rsidRPr="00526156" w:rsidTr="00100198">
        <w:trPr>
          <w:cantSplit/>
          <w:trHeight w:val="1914"/>
          <w:jc w:val="center"/>
        </w:trPr>
        <w:tc>
          <w:tcPr>
            <w:tcW w:w="565" w:type="dxa"/>
            <w:vMerge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  <w:vMerge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  <w:textDirection w:val="btLr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uk-UA"/>
              </w:rPr>
              <w:t>так</w:t>
            </w:r>
          </w:p>
        </w:tc>
        <w:tc>
          <w:tcPr>
            <w:tcW w:w="0" w:type="auto"/>
            <w:textDirection w:val="btLr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uk-UA"/>
              </w:rPr>
              <w:t>ні</w:t>
            </w:r>
          </w:p>
        </w:tc>
        <w:tc>
          <w:tcPr>
            <w:tcW w:w="0" w:type="auto"/>
            <w:textDirection w:val="btLr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uk-UA"/>
              </w:rPr>
              <w:t>не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uk-UA"/>
              </w:rPr>
              <w:t>розглядалося</w:t>
            </w:r>
          </w:p>
        </w:tc>
        <w:tc>
          <w:tcPr>
            <w:tcW w:w="0" w:type="auto"/>
            <w:vMerge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100198" w:rsidRPr="00526156" w:rsidTr="00100198">
        <w:trPr>
          <w:jc w:val="center"/>
        </w:trPr>
        <w:tc>
          <w:tcPr>
            <w:tcW w:w="9773" w:type="dxa"/>
            <w:gridSpan w:val="7"/>
          </w:tcPr>
          <w:p w:rsidR="00100198" w:rsidRPr="00526156" w:rsidRDefault="00100198" w:rsidP="00100198">
            <w:pPr>
              <w:keepNext/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bCs/>
                <w:szCs w:val="20"/>
                <w:lang w:eastAsia="uk-UA"/>
              </w:rPr>
              <w:t>1.</w:t>
            </w:r>
            <w:r>
              <w:rPr>
                <w:rFonts w:ascii="Times New Roman" w:hAnsi="Times New Roman"/>
                <w:bCs/>
                <w:szCs w:val="20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szCs w:val="20"/>
                <w:lang w:eastAsia="uk-UA"/>
              </w:rPr>
              <w:t>Загальні</w:t>
            </w:r>
            <w:r>
              <w:rPr>
                <w:rFonts w:ascii="Times New Roman" w:hAnsi="Times New Roman"/>
                <w:bCs/>
                <w:szCs w:val="20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szCs w:val="20"/>
                <w:lang w:eastAsia="uk-UA"/>
              </w:rPr>
              <w:t>вимоги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Присутність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керівника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його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заступника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уповноваженої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установленому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порядку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перевірки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забезпечено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31029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Закону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України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«Про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ринок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електричної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енергії»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(далі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–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ЗУ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2019-VIII)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C31029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Ліцензійних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умов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провадження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діяльності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виробництва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C3102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C31029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C3102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309);</w:t>
            </w:r>
          </w:p>
          <w:p w:rsidR="00C31029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Ліцензійних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умов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провадження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діяльності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виробництва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C3102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грудня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C31029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1467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1467)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Фактичні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відповідають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даним,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зазначені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додавалися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відомостям,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зазначеним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Єдиному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реєстрі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юридичних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осіб,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фізичних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осіб-підприємців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громадських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формувань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lastRenderedPageBreak/>
              <w:t>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1.5,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1.5,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1.3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зберігає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протягом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копії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подавалися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7671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іцензійних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певного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будь-які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обов’язки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третім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особам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частини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четвертої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статті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2019-VIII;</w:t>
            </w:r>
          </w:p>
          <w:p w:rsidR="0007671E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підпункт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пункту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2.3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309;</w:t>
            </w:r>
          </w:p>
          <w:p w:rsidR="0007671E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07671E">
              <w:rPr>
                <w:rFonts w:ascii="Times New Roman" w:hAnsi="Times New Roman"/>
                <w:spacing w:val="-2"/>
                <w:lang w:eastAsia="ru-RU"/>
              </w:rPr>
              <w:t>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1.4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повідомляє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зміни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даних,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додавалися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строк,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ліцензійними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умовами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07671E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309;</w:t>
            </w:r>
          </w:p>
          <w:p w:rsidR="0007671E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1.5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Документи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копії),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(дані,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відомості,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звітність),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своїх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повноважень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надаються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обсягах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строки,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частини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четвертої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статті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6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ЗУ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2019-VIII;</w:t>
            </w:r>
          </w:p>
          <w:p w:rsidR="0007671E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4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частини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другої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статті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17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Закону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України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«Про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Національну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комісію,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що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здійснює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державне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регулювання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сферах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енергетики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комунальних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послуг»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(далі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–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ЗУ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1540-VIII)</w:t>
            </w:r>
            <w:r w:rsidRPr="00526156">
              <w:rPr>
                <w:rFonts w:ascii="Times New Roman" w:hAnsi="Times New Roman"/>
                <w:lang w:eastAsia="ru-RU"/>
              </w:rPr>
              <w:t>;</w:t>
            </w:r>
          </w:p>
          <w:p w:rsidR="0007671E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9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309;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9,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42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1.6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рішення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строки,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рішеннями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законодавством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дев'ята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першої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другої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1540-VIII;</w:t>
            </w:r>
          </w:p>
          <w:p w:rsidR="0007671E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07671E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1.7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lang w:eastAsia="ru-RU"/>
              </w:rPr>
              <w:t>Внески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визначені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рішенням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НКРЕКП,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сплачуються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своєчасно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повному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обсязі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1540-VIII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07671E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Порядку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розрахунку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встановлення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ставки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внесків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затвердженого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постановою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комісії,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здійснює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державне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сферах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енергетики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комунальних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послуг</w:t>
            </w:r>
            <w:r w:rsidR="0007671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06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квітня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2017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року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491;</w:t>
            </w:r>
          </w:p>
          <w:p w:rsidR="0007671E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07671E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1.8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власного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вебсайту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мережі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Інтернет,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розміщено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актуальну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підлягає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оприлюдненню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чинного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984493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частина третя статті 14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Закон</w:t>
            </w:r>
            <w:r>
              <w:rPr>
                <w:rFonts w:ascii="Times New Roman" w:hAnsi="Times New Roman"/>
                <w:spacing w:val="-6"/>
                <w:lang w:eastAsia="ru-RU"/>
              </w:rPr>
              <w:t>у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України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«Про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бухгалтерський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облік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та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фінансову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звітність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в</w:t>
            </w:r>
            <w:r w:rsidR="00100198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="00100198" w:rsidRPr="00526156">
              <w:rPr>
                <w:rFonts w:ascii="Times New Roman" w:hAnsi="Times New Roman"/>
                <w:spacing w:val="-6"/>
                <w:lang w:eastAsia="ru-RU"/>
              </w:rPr>
              <w:t>Україні»;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12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4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та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2.3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ЛУ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309;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7,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38,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43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2.2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ЛУ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1.9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урегульовує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спори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учасниками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згідно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врегулювання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спорів,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виникають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суб'єктами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провадять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сферах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енергетики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рішення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прийняте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результатами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розгляду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спору,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0C09D4" w:rsidRDefault="00100198" w:rsidP="008D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Порядок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врегулювання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спорів,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виникають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суб’єктами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провадять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сферах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енергетики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затверджений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постановою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Національної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комісії,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регулювання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сферах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енергетики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</w:t>
            </w:r>
            <w:r w:rsidR="000C09D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лютого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156;</w:t>
            </w:r>
          </w:p>
          <w:p w:rsidR="000C09D4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9773" w:type="dxa"/>
            <w:gridSpan w:val="7"/>
          </w:tcPr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Кадрові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2.1</w:t>
            </w:r>
          </w:p>
        </w:tc>
        <w:tc>
          <w:tcPr>
            <w:tcW w:w="0" w:type="auto"/>
          </w:tcPr>
          <w:p w:rsidR="00100198" w:rsidRPr="00526156" w:rsidRDefault="00100198" w:rsidP="00C809CC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дотримується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кадрових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зокрема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оформляє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трудові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відносини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персоналом</w:t>
            </w:r>
            <w:r w:rsidR="00C809CC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, який задіяний для виконання функцій ліцензованої 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шляхом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трудових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договорів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положень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Кодексу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працю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шляхом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залучення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осіб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окремих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робіт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(послуг)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підставах,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заборонених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чинним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lang w:eastAsia="uk-UA"/>
              </w:rPr>
              <w:t>стаття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24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Кодексу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законів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про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працю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України;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100198" w:rsidRPr="00526156" w:rsidRDefault="00100198" w:rsidP="008D5050">
            <w:pPr>
              <w:keepNext/>
              <w:spacing w:after="0" w:line="240" w:lineRule="auto"/>
              <w:ind w:lef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9773" w:type="dxa"/>
            <w:gridSpan w:val="7"/>
          </w:tcPr>
          <w:p w:rsidR="00100198" w:rsidRPr="00526156" w:rsidRDefault="00100198" w:rsidP="008D50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Організаційні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val="en-US" w:eastAsia="uk-UA"/>
              </w:rPr>
              <w:t>3</w:t>
            </w:r>
            <w:r w:rsidRPr="00526156">
              <w:rPr>
                <w:rFonts w:ascii="Times New Roman" w:hAnsi="Times New Roman"/>
                <w:szCs w:val="20"/>
                <w:lang w:eastAsia="uk-UA"/>
              </w:rPr>
              <w:t>.1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обов’язковими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пропозиції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містять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положення,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суперечать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конкуренції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C09D4">
              <w:rPr>
                <w:rFonts w:ascii="Times New Roman" w:eastAsia="Times New Roman" w:hAnsi="Times New Roman"/>
                <w:lang w:eastAsia="ru-RU"/>
              </w:rPr>
              <w:t>л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іцензійним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умовам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0C09D4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15,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веде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облік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витрат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доходів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рамках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спеціальних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обов'язків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загальносуспільного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інтересу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випадках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покладення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Кабінетом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окремо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виробництва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ринкових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засадах)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0C09D4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використовує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кошти,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рамках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спеціальних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обов'язків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загальносуспільного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інтересу,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цільовим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призначенням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дотриманням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принципів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публічних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публічні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закупівлі»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публічні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закупівлі»;</w:t>
            </w:r>
          </w:p>
          <w:p w:rsidR="000C09D4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3.4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виключно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засобів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межах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місць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додаються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змін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них,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поданих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НКРЕКП)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47A69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lastRenderedPageBreak/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147A69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3.5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використовує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кошти,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виключно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структури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тарифів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разі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встановлення)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8D5050">
            <w:pPr>
              <w:keepNext/>
              <w:spacing w:after="0" w:line="240" w:lineRule="auto"/>
              <w:ind w:left="-153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НКРЕКП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відповідний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період;</w:t>
            </w:r>
          </w:p>
          <w:p w:rsidR="00147A69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формування,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розрахунку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встановлення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тарифу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енергію,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виробляється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гідроелектростанціях,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01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серпня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989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989);</w:t>
            </w:r>
          </w:p>
          <w:p w:rsidR="00147A69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формування,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розрахунку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встановлення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тарифів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енергію,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виробляється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атомних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електростанціях,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01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серпня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990);</w:t>
            </w:r>
          </w:p>
          <w:p w:rsidR="00147A69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формування,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розрахунку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встановлення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тарифів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(або)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енергію,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виробляється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теплоелектроцентралях,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електростанціях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hAnsi="Times New Roman"/>
                <w:spacing w:val="-2"/>
                <w:lang w:eastAsia="ru-RU"/>
              </w:rPr>
              <w:t>когенераційних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установках,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lastRenderedPageBreak/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01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серпня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991);</w:t>
            </w:r>
          </w:p>
          <w:p w:rsidR="00100198" w:rsidRPr="00526156" w:rsidRDefault="00100198" w:rsidP="008D50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8,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13,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3.6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переліку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заходів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запланованих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обсягів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витрат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ремонтних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робіт,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включені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структури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тарифів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відпуск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spacing w:after="0" w:line="240" w:lineRule="auto"/>
              <w:ind w:left="-92" w:right="-14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НКРЕКП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відповідний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період;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989;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990;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991;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3.7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коштів,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рахунок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тарифу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відпуск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джерело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фінансування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інвестиційної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програми,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виключно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напрямів,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інвестиційною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програмою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47A69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Порядок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формування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інвестиційних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програм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ліцензіатів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передачі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магістральними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міждержавними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електричними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мережами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виробництва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та/або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атомних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електростанціях,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гідроелектростанціях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hAnsi="Times New Roman"/>
                <w:spacing w:val="-2"/>
                <w:lang w:eastAsia="ru-RU"/>
              </w:rPr>
              <w:t>гідроакумулюючих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електростанціях,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червня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1972;</w:t>
            </w:r>
          </w:p>
          <w:p w:rsidR="00147A69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Порядок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формування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інвестиційних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програм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ліцензіатів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виробництва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теплоелектроцентралях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hAnsi="Times New Roman"/>
                <w:spacing w:val="-2"/>
                <w:lang w:eastAsia="ru-RU"/>
              </w:rPr>
              <w:t>когенераційних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установках,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жовтня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2015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2585;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3.8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крім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ліцензованої,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зазначенням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видів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фінансового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результату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1.14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991;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990;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1.11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989;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lastRenderedPageBreak/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3.9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зобов'язання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реконструкції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модернізації,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реалізації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етапів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147A69">
              <w:rPr>
                <w:rFonts w:ascii="Times New Roman" w:eastAsia="Times New Roman" w:hAnsi="Times New Roman"/>
                <w:lang w:eastAsia="ru-RU"/>
              </w:rPr>
              <w:t>є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реконструкції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модернізації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заходів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довгострокової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інвестиційної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програми.</w:t>
            </w:r>
          </w:p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Нецільове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коштів,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отриманих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реалізації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147A69">
              <w:rPr>
                <w:rFonts w:ascii="Times New Roman" w:eastAsia="Times New Roman" w:hAnsi="Times New Roman"/>
                <w:lang w:eastAsia="ru-RU"/>
              </w:rPr>
              <w:t>є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реконструкції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модернізації,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відсутнє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розділ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Методики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991;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План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реконструкції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модернізації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теплоелектростанцій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теплоелектроцентралей,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схвалений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розпорядженням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Кабінету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Міністрів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08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вересня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2004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648;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Порядок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підготовки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фінансування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проектів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метою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реалізації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плану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реконструкції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модернізації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теплових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електростанцій,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наказом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Міністерства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палива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24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травня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2006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183;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3.10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147A69">
              <w:rPr>
                <w:rFonts w:ascii="Times New Roman" w:eastAsia="Times New Roman" w:hAnsi="Times New Roman"/>
                <w:lang w:eastAsia="ru-RU"/>
              </w:rPr>
              <w:t>є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ктування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будівництво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(нове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будівництво,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реконструкцію,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капітальний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ремонт,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технічне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переоснащення)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генеруючих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сфері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містобудівної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положень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47A69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друга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Правила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ринку,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</w:t>
            </w:r>
            <w:r w:rsidR="00147A69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2018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ПРЕЕ);</w:t>
            </w:r>
          </w:p>
          <w:p w:rsidR="00147A69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купівлю-продаж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особливостей,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своєчасних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куплену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надаються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lastRenderedPageBreak/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11,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3.13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купівлю-продаж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двосторонніми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організованих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сегментах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374C7D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17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3.14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двосторонні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74C7D">
              <w:rPr>
                <w:rFonts w:ascii="Times New Roman" w:eastAsia="Times New Roman" w:hAnsi="Times New Roman"/>
                <w:lang w:eastAsia="ru-RU"/>
              </w:rPr>
              <w:t>л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іцензійних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законодавства,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регулює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повідомлення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договірні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обсяги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укладеними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двосторонніми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договорами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16,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18,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19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374C7D">
              <w:rPr>
                <w:rFonts w:ascii="Times New Roman" w:hAnsi="Times New Roman"/>
                <w:bCs/>
                <w:lang w:eastAsia="uk-UA"/>
              </w:rPr>
              <w:t> 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3.15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зберігає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відомості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укладені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двосторонні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організованих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сегментах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допоміжних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менше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п'яти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років.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разі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наявності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власності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експлуатації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енергогенеруючого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обладнання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потужністю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понад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МВт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включно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зберігає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упродовж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п’яти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необхідну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перевірки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оперативно</w:t>
            </w:r>
            <w:proofErr w:type="spellEnd"/>
            <w:r w:rsidRPr="00526156">
              <w:rPr>
                <w:rFonts w:ascii="Times New Roman" w:eastAsia="Times New Roman" w:hAnsi="Times New Roman"/>
                <w:lang w:eastAsia="ru-RU"/>
              </w:rPr>
              <w:t>-диспетчерських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рішень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поведінки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подання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(пропозицій)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добу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наперед»,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балансуючому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допоміжних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розподілі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пропускної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спроможності,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включає,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зокрема,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погодинні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кожній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електростанції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доступних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генеруючих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обов'язкових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резервів,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включаючи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постанційний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розподіл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резервів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момент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заявок/пропозицій,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фактичні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стаття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73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37,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39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3.16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(державне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підприємство/господарське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товариство,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частка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статутному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капіталі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становить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відсотків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більше/господарське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товариство,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статутному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капіталі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відсотків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більше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акцій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(часток,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паїв)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належать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товариствам,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акціонером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володіє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контрольним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пакетом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акцій,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дочірнє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підприємство,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представництво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філія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підприємства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товариства)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продаж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двосторонніми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договорами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електронних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аукціонах,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порядок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затверджується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Кабінетом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374C7D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21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3.17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постачальником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балансування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випадках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порядку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ПРЕЕ;</w:t>
            </w:r>
          </w:p>
          <w:p w:rsidR="00374C7D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pStyle w:val="1"/>
              <w:spacing w:after="0" w:line="240" w:lineRule="auto"/>
              <w:ind w:left="0" w:right="-28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3.18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пропонує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генеруючу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потужність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балансуючому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згідно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374C7D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24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pStyle w:val="1"/>
              <w:spacing w:after="0" w:line="240" w:lineRule="auto"/>
              <w:ind w:left="0" w:right="-28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3.19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допоміжні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послуги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згідно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випадках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порядку,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ПРЕЕ;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25,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26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3.20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команди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вказівки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технічну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звіти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диспетчерського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управління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374C7D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частини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6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7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статті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44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  <w:r w:rsidRPr="00526156">
              <w:rPr>
                <w:rFonts w:ascii="Times New Roman" w:hAnsi="Times New Roman"/>
                <w:bCs/>
                <w:lang w:eastAsia="uk-UA"/>
              </w:rPr>
              <w:t>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ПРЕЕ;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Правила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взаємовідносин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між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Державним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підприємством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«Національна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енергетична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компанія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«Укренерго»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lastRenderedPageBreak/>
              <w:t>суб'єктами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(об'єктами)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електроенергетики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в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умовах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паралельної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роботи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в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складі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Об'єднаної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енергетичної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системи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України,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затверджені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наказом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Міністерства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палива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енергетики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України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від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02</w:t>
            </w:r>
            <w:r w:rsidR="00374C7D">
              <w:rPr>
                <w:rFonts w:ascii="Times New Roman" w:hAnsi="Times New Roman"/>
                <w:bCs/>
                <w:lang w:eastAsia="uk-UA"/>
              </w:rPr>
              <w:t> 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червня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2008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року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303;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11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747038">
              <w:rPr>
                <w:rFonts w:ascii="Times New Roman" w:hAnsi="Times New Roman"/>
                <w:bCs/>
                <w:lang w:eastAsia="uk-UA"/>
              </w:rPr>
              <w:t> 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309;</w:t>
            </w:r>
          </w:p>
          <w:p w:rsidR="00100198" w:rsidRPr="00526156" w:rsidRDefault="00100198" w:rsidP="009372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28,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29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3.21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підготовці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заявок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(пропозицій)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вчиняє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можуть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призвести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маніпулювання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цінами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спотворень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конкуренції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складає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добові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графіки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згідно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обсягами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купленої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проданої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акцептовані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добові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графіки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31,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несе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фінансову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відповідальність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небаланси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цінами,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разі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акцептованих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погодинних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графіків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особливостей,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тарифом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частина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п'ята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lang w:eastAsia="ru-RU"/>
              </w:rPr>
              <w:t>ЗУ</w:t>
            </w:r>
            <w:r w:rsidR="00747038"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3.24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учасникам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їхніх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обсягах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порядку,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кодексом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кодексом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розподілу,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кодексом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комерційного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обліку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нормативно-правовими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актами,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числі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підготовки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звіту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оцінки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(достатності)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генеруючих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потужностей</w:t>
            </w:r>
            <w:proofErr w:type="spellEnd"/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11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частини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четвертої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статті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Кодекс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комерційного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обліку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електричної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енергії,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постановою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комісії,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lastRenderedPageBreak/>
              <w:t>здійснює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державне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сферах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енергетики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комунальних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послуг</w:t>
            </w:r>
            <w:r w:rsidR="0074703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березня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2018</w:t>
            </w:r>
            <w:r w:rsidR="00747038">
              <w:rPr>
                <w:rFonts w:ascii="Times New Roman" w:hAnsi="Times New Roman"/>
                <w:lang w:eastAsia="ru-RU"/>
              </w:rPr>
              <w:t> </w:t>
            </w:r>
            <w:r w:rsidRPr="00526156">
              <w:rPr>
                <w:rFonts w:ascii="Times New Roman" w:hAnsi="Times New Roman"/>
                <w:lang w:eastAsia="ru-RU"/>
              </w:rPr>
              <w:t>року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311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(далі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ККО);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lang w:eastAsia="ru-RU"/>
              </w:rPr>
              <w:t>Кодекс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систем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розподілу,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постановою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комісії,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здійснює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державне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сферах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енергетики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комунальних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послуг</w:t>
            </w:r>
            <w:r w:rsidR="0074703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березня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2018</w:t>
            </w:r>
            <w:r w:rsidR="00747038">
              <w:rPr>
                <w:rFonts w:ascii="Times New Roman" w:hAnsi="Times New Roman"/>
                <w:lang w:eastAsia="ru-RU"/>
              </w:rPr>
              <w:t> </w:t>
            </w:r>
            <w:r w:rsidRPr="00526156">
              <w:rPr>
                <w:rFonts w:ascii="Times New Roman" w:hAnsi="Times New Roman"/>
                <w:lang w:eastAsia="ru-RU"/>
              </w:rPr>
              <w:t>року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310;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lang w:eastAsia="ru-RU"/>
              </w:rPr>
              <w:t>Кодекс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системи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передачі,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постановою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комісії,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здійснює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державне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сферах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енергетики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комунальних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послуг</w:t>
            </w:r>
            <w:r w:rsidR="0074703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березня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2018</w:t>
            </w:r>
            <w:r w:rsidR="00747038">
              <w:rPr>
                <w:rFonts w:ascii="Times New Roman" w:hAnsi="Times New Roman"/>
                <w:lang w:eastAsia="ru-RU"/>
              </w:rPr>
              <w:t> </w:t>
            </w:r>
            <w:r w:rsidRPr="00526156">
              <w:rPr>
                <w:rFonts w:ascii="Times New Roman" w:hAnsi="Times New Roman"/>
                <w:lang w:eastAsia="ru-RU"/>
              </w:rPr>
              <w:t>року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309;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27,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35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3.25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дотримується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надання,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захисту,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розкриття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оприлюднення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іншими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нормативно-правовими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актами,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нормативними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36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3.26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«зелений»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тариф,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особливостей,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2019-VIII</w:t>
            </w:r>
          </w:p>
          <w:p w:rsidR="00100198" w:rsidRPr="00526156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lang w:eastAsia="ru-RU"/>
              </w:rPr>
              <w:t>(з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01</w:t>
            </w:r>
            <w:r w:rsidR="00FD4BA9">
              <w:rPr>
                <w:rFonts w:ascii="Times New Roman" w:hAnsi="Times New Roman"/>
                <w:lang w:eastAsia="ru-RU"/>
              </w:rPr>
              <w:t xml:space="preserve"> липня </w:t>
            </w:r>
            <w:r w:rsidRPr="00526156">
              <w:rPr>
                <w:rFonts w:ascii="Times New Roman" w:hAnsi="Times New Roman"/>
                <w:lang w:eastAsia="ru-RU"/>
              </w:rPr>
              <w:t>2019</w:t>
            </w:r>
            <w:r w:rsidR="00FD4BA9">
              <w:rPr>
                <w:rFonts w:ascii="Times New Roman" w:hAnsi="Times New Roman"/>
                <w:lang w:eastAsia="ru-RU"/>
              </w:rPr>
              <w:t xml:space="preserve"> року</w:t>
            </w:r>
            <w:r w:rsidRPr="00526156">
              <w:rPr>
                <w:rFonts w:ascii="Times New Roman" w:hAnsi="Times New Roman"/>
                <w:lang w:eastAsia="ru-RU"/>
              </w:rPr>
              <w:t>);</w:t>
            </w:r>
          </w:p>
          <w:p w:rsidR="00747038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40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3.27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виробляє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вуглеводнів,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резерви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палива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метою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безпеки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згідно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безпеки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рішеннями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центрального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органу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влади,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забезпечує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формування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реалізацію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політики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електроенергетичному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комплексі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разі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виробництва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вуглеводнів)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747038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частина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spacing w:val="-4"/>
                <w:lang w:eastAsia="uk-UA"/>
              </w:rPr>
              <w:t>шоста</w:t>
            </w:r>
            <w:r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spacing w:val="-4"/>
                <w:lang w:eastAsia="uk-UA"/>
              </w:rPr>
              <w:t>статті</w:t>
            </w:r>
            <w:r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spacing w:val="-4"/>
                <w:lang w:eastAsia="uk-UA"/>
              </w:rPr>
              <w:t>30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4"/>
                <w:lang w:eastAsia="ru-RU"/>
              </w:rPr>
              <w:t>ЗУ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4"/>
                <w:lang w:eastAsia="ru-RU"/>
              </w:rPr>
              <w:t>№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4"/>
                <w:lang w:eastAsia="ru-RU"/>
              </w:rPr>
              <w:t>2019</w:t>
            </w:r>
            <w:r w:rsidRPr="00526156">
              <w:rPr>
                <w:rFonts w:ascii="Times New Roman" w:hAnsi="Times New Roman"/>
                <w:lang w:eastAsia="ru-RU"/>
              </w:rPr>
              <w:t>-VIII;</w:t>
            </w:r>
          </w:p>
          <w:p w:rsidR="00747038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17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2.3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309;</w:t>
            </w:r>
          </w:p>
          <w:p w:rsidR="00747038" w:rsidRDefault="00100198" w:rsidP="00100198">
            <w:pPr>
              <w:spacing w:after="0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підпункт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41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пункту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2.2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bCs/>
                <w:lang w:eastAsia="uk-UA"/>
              </w:rPr>
              <w:t>ЛУ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№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bCs/>
                <w:lang w:eastAsia="uk-UA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9773" w:type="dxa"/>
            <w:gridSpan w:val="7"/>
          </w:tcPr>
          <w:p w:rsidR="00100198" w:rsidRPr="00526156" w:rsidRDefault="00100198" w:rsidP="00100198">
            <w:pPr>
              <w:keepNext/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Технологічні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4.1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засобів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належать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власності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господарського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відання,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користування,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перебувають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концесії,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лізингу,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наявності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технічної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документації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електрогенеруюче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обладнання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 w:rsidR="00747038">
              <w:rPr>
                <w:rFonts w:ascii="Times New Roman" w:hAnsi="Times New Roman"/>
                <w:spacing w:val="-2"/>
                <w:lang w:eastAsia="ru-RU"/>
              </w:rPr>
              <w:t xml:space="preserve"> 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4.2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комерційний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облік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обмін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даними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комерційного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обліку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встановлених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вимог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ККО;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747038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4.3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інформаційну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безпеку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eastAsia="Times New Roman" w:hAnsi="Times New Roman"/>
                <w:lang w:eastAsia="ru-RU"/>
              </w:rPr>
              <w:t>кібербезпеку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засобів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інформації,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використовується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74703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заходи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запобігання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загрози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безпеці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критичної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інфраструктури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Стратегії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hAnsi="Times New Roman"/>
                <w:spacing w:val="-2"/>
                <w:lang w:eastAsia="ru-RU"/>
              </w:rPr>
              <w:t>кібербезпеки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затвердженої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Указом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Президента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15</w:t>
            </w:r>
            <w:r w:rsidR="00747038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2016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96;</w:t>
            </w:r>
          </w:p>
          <w:p w:rsidR="00100198" w:rsidRPr="00526156" w:rsidRDefault="00100198" w:rsidP="00100198">
            <w:pPr>
              <w:spacing w:after="0" w:line="240" w:lineRule="auto"/>
              <w:ind w:left="-11" w:right="-84" w:firstLine="153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Закон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«Про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основні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засади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забезпечення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526156">
              <w:rPr>
                <w:rFonts w:ascii="Times New Roman" w:hAnsi="Times New Roman"/>
                <w:spacing w:val="-2"/>
                <w:lang w:eastAsia="ru-RU"/>
              </w:rPr>
              <w:t>кібербезпеки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України»;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18,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747038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9773" w:type="dxa"/>
            <w:gridSpan w:val="7"/>
          </w:tcPr>
          <w:p w:rsidR="00100198" w:rsidRPr="00526156" w:rsidRDefault="00100198" w:rsidP="00100198">
            <w:pPr>
              <w:keepNext/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Спеціальні</w:t>
            </w:r>
            <w:r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5.1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допускає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перехресного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субсидіювання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747038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747038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5.2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одноосібний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спільний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праві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власності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управлінні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акцій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(частки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статутному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lastRenderedPageBreak/>
              <w:t>капіталі)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розподілу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8574A5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lastRenderedPageBreak/>
              <w:t>5.3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Посадова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посадовою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особою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передачі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четвертої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30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8574A5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5.4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спеціальні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обов'язки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загальносуспільного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інтересу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випадку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покладення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Кабінетом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Міністрів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ринок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енергії»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4"/>
                <w:lang w:eastAsia="ru-RU"/>
              </w:rPr>
              <w:t>ЗУ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4"/>
                <w:lang w:eastAsia="ru-RU"/>
              </w:rPr>
              <w:t>№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4"/>
                <w:lang w:eastAsia="ru-RU"/>
              </w:rPr>
              <w:t>2019</w:t>
            </w:r>
            <w:r w:rsidRPr="00526156">
              <w:rPr>
                <w:rFonts w:ascii="Times New Roman" w:hAnsi="Times New Roman"/>
                <w:lang w:eastAsia="ru-RU"/>
              </w:rPr>
              <w:t>-VIII;</w:t>
            </w:r>
          </w:p>
          <w:p w:rsidR="008574A5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  <w:tr w:rsidR="00100198" w:rsidRPr="00526156" w:rsidTr="00100198">
        <w:trPr>
          <w:jc w:val="center"/>
        </w:trPr>
        <w:tc>
          <w:tcPr>
            <w:tcW w:w="565" w:type="dxa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526156">
              <w:rPr>
                <w:rFonts w:ascii="Times New Roman" w:hAnsi="Times New Roman"/>
                <w:szCs w:val="20"/>
                <w:lang w:eastAsia="uk-UA"/>
              </w:rPr>
              <w:t>5.5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допускає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собою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контролю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захист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конкуренції»,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резидентами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держав,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здійснюють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збройну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агресію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статті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Закону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оборону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та/або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дії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яких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створюють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умови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виникнення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воєнного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конфлікту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застосування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воєнної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сили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проти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частини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четвертої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574A5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eastAsia="Times New Roman" w:hAnsi="Times New Roman"/>
                <w:lang w:eastAsia="ru-RU"/>
              </w:rPr>
              <w:t>статті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ЗУ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eastAsia="Times New Roman" w:hAnsi="Times New Roman"/>
                <w:lang w:eastAsia="ru-RU"/>
              </w:rPr>
              <w:t>2019-VIII;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підпункт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2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пункту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2.5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uk-UA"/>
              </w:rPr>
            </w:pPr>
            <w:r w:rsidRPr="00526156">
              <w:rPr>
                <w:rFonts w:ascii="Times New Roman" w:hAnsi="Times New Roman"/>
                <w:lang w:eastAsia="uk-UA"/>
              </w:rPr>
              <w:t>ЛУ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526156">
              <w:rPr>
                <w:rFonts w:ascii="Times New Roman" w:hAnsi="Times New Roman"/>
                <w:lang w:eastAsia="uk-UA"/>
              </w:rPr>
              <w:t>309;</w:t>
            </w:r>
          </w:p>
          <w:p w:rsidR="008574A5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100198" w:rsidRPr="00526156" w:rsidRDefault="00100198" w:rsidP="0010019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526156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6156">
              <w:rPr>
                <w:rFonts w:ascii="Times New Roman" w:hAnsi="Times New Roman"/>
                <w:lang w:eastAsia="ru-RU"/>
              </w:rPr>
              <w:t>1467</w:t>
            </w:r>
          </w:p>
        </w:tc>
      </w:tr>
    </w:tbl>
    <w:p w:rsidR="00F101DF" w:rsidRPr="00D57BFC" w:rsidRDefault="00F101DF" w:rsidP="00100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DF" w:rsidRDefault="00F101DF" w:rsidP="00425448">
      <w:pPr>
        <w:spacing w:after="0"/>
        <w:ind w:left="360" w:right="375" w:firstLine="567"/>
        <w:jc w:val="both"/>
        <w:rPr>
          <w:rFonts w:ascii="Times New Roman" w:hAnsi="Times New Roman"/>
          <w:sz w:val="20"/>
          <w:szCs w:val="20"/>
        </w:rPr>
      </w:pPr>
      <w:r w:rsidRPr="00100198">
        <w:rPr>
          <w:rFonts w:ascii="Times New Roman" w:hAnsi="Times New Roman"/>
          <w:sz w:val="20"/>
          <w:szCs w:val="20"/>
        </w:rPr>
        <w:t>*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заповнюється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керівником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суб’єкта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господарювання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або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уповноваженою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ним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особою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="0064359C">
        <w:rPr>
          <w:rFonts w:ascii="Times New Roman" w:hAnsi="Times New Roman"/>
          <w:sz w:val="20"/>
          <w:szCs w:val="20"/>
        </w:rPr>
        <w:t xml:space="preserve">в </w:t>
      </w:r>
      <w:r w:rsidRPr="00100198">
        <w:rPr>
          <w:rFonts w:ascii="Times New Roman" w:hAnsi="Times New Roman"/>
          <w:sz w:val="20"/>
          <w:szCs w:val="20"/>
        </w:rPr>
        <w:t>добровільному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порядку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шляхом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присвоєння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кожному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з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питань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від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1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до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4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балів,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де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4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позначає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питання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щодо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вимоги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законодавства,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дотримання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якої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має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найбільше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адміністративне,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фінансове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або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будь-яке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інше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навантаження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суб’єкта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господарювання,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1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–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питання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щодо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вимоги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законодавства,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дотримання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якої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не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передбачає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такого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навантаження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на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суб’єкта</w:t>
      </w:r>
      <w:r w:rsidR="00100198">
        <w:rPr>
          <w:rFonts w:ascii="Times New Roman" w:hAnsi="Times New Roman"/>
          <w:sz w:val="20"/>
          <w:szCs w:val="20"/>
        </w:rPr>
        <w:t xml:space="preserve"> </w:t>
      </w:r>
      <w:r w:rsidRPr="00100198">
        <w:rPr>
          <w:rFonts w:ascii="Times New Roman" w:hAnsi="Times New Roman"/>
          <w:sz w:val="20"/>
          <w:szCs w:val="20"/>
        </w:rPr>
        <w:t>господарювання.</w:t>
      </w:r>
    </w:p>
    <w:p w:rsidR="009370F9" w:rsidRDefault="009370F9" w:rsidP="00100198">
      <w:pPr>
        <w:spacing w:after="0"/>
        <w:ind w:left="360" w:firstLine="567"/>
        <w:jc w:val="both"/>
        <w:rPr>
          <w:rFonts w:ascii="Times New Roman" w:hAnsi="Times New Roman"/>
          <w:sz w:val="20"/>
          <w:szCs w:val="20"/>
        </w:rPr>
      </w:pPr>
    </w:p>
    <w:p w:rsidR="009370F9" w:rsidRDefault="009370F9" w:rsidP="00100198">
      <w:pPr>
        <w:spacing w:after="0"/>
        <w:ind w:left="360" w:firstLine="567"/>
        <w:jc w:val="both"/>
        <w:rPr>
          <w:rFonts w:ascii="Times New Roman" w:hAnsi="Times New Roman"/>
          <w:sz w:val="20"/>
          <w:szCs w:val="20"/>
        </w:rPr>
      </w:pPr>
    </w:p>
    <w:p w:rsidR="00970DE4" w:rsidRPr="00E774A0" w:rsidRDefault="00E774A0" w:rsidP="00100198">
      <w:pPr>
        <w:spacing w:after="0"/>
        <w:ind w:left="360"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774A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7 в редакції Постанов Національної комісії, що здійснює державне регулювання у сферах енергетики та комунальних послуг </w:t>
      </w:r>
      <w:r w:rsidRPr="00E774A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E774A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E774A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E774A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E774A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E774A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E774A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970DE4" w:rsidRPr="00E774A0" w:rsidSect="008D5050">
      <w:headerReference w:type="default" r:id="rId7"/>
      <w:pgSz w:w="11906" w:h="16838"/>
      <w:pgMar w:top="1134" w:right="566" w:bottom="1134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05" w:rsidRDefault="00716605" w:rsidP="0045013F">
      <w:pPr>
        <w:spacing w:after="0" w:line="240" w:lineRule="auto"/>
      </w:pPr>
      <w:r>
        <w:separator/>
      </w:r>
    </w:p>
  </w:endnote>
  <w:endnote w:type="continuationSeparator" w:id="0">
    <w:p w:rsidR="00716605" w:rsidRDefault="00716605" w:rsidP="0045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05" w:rsidRDefault="00716605" w:rsidP="0045013F">
      <w:pPr>
        <w:spacing w:after="0" w:line="240" w:lineRule="auto"/>
      </w:pPr>
      <w:r>
        <w:separator/>
      </w:r>
    </w:p>
  </w:footnote>
  <w:footnote w:type="continuationSeparator" w:id="0">
    <w:p w:rsidR="00716605" w:rsidRDefault="00716605" w:rsidP="0045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0" w:rsidRPr="008D5050" w:rsidRDefault="008D5050" w:rsidP="008D5050">
    <w:pPr>
      <w:pStyle w:val="a6"/>
      <w:ind w:right="92"/>
      <w:jc w:val="center"/>
      <w:rPr>
        <w:rFonts w:ascii="Times New Roman" w:hAnsi="Times New Roman"/>
        <w:sz w:val="24"/>
      </w:rPr>
    </w:pPr>
    <w:r w:rsidRPr="008D5050">
      <w:rPr>
        <w:rFonts w:ascii="Times New Roman" w:hAnsi="Times New Roman"/>
        <w:sz w:val="24"/>
      </w:rPr>
      <w:fldChar w:fldCharType="begin"/>
    </w:r>
    <w:r w:rsidRPr="008D5050">
      <w:rPr>
        <w:rFonts w:ascii="Times New Roman" w:hAnsi="Times New Roman"/>
        <w:sz w:val="24"/>
      </w:rPr>
      <w:instrText>PAGE   \* MERGEFORMAT</w:instrText>
    </w:r>
    <w:r w:rsidRPr="008D5050">
      <w:rPr>
        <w:rFonts w:ascii="Times New Roman" w:hAnsi="Times New Roman"/>
        <w:sz w:val="24"/>
      </w:rPr>
      <w:fldChar w:fldCharType="separate"/>
    </w:r>
    <w:r w:rsidR="00980BB7">
      <w:rPr>
        <w:rFonts w:ascii="Times New Roman" w:hAnsi="Times New Roman"/>
        <w:noProof/>
        <w:sz w:val="24"/>
      </w:rPr>
      <w:t>2</w:t>
    </w:r>
    <w:r w:rsidRPr="008D5050">
      <w:rPr>
        <w:rFonts w:ascii="Times New Roman" w:hAnsi="Times New Roman"/>
        <w:sz w:val="24"/>
      </w:rPr>
      <w:fldChar w:fldCharType="end"/>
    </w:r>
  </w:p>
  <w:p w:rsidR="00100198" w:rsidRDefault="008D5050" w:rsidP="008D5050">
    <w:pPr>
      <w:pStyle w:val="a6"/>
      <w:ind w:right="375"/>
      <w:jc w:val="right"/>
      <w:rPr>
        <w:rFonts w:ascii="Times New Roman" w:hAnsi="Times New Roman"/>
        <w:sz w:val="24"/>
        <w:lang w:val="ru-RU"/>
      </w:rPr>
    </w:pPr>
    <w:proofErr w:type="spellStart"/>
    <w:r w:rsidRPr="008D5050">
      <w:rPr>
        <w:rFonts w:ascii="Times New Roman" w:hAnsi="Times New Roman"/>
        <w:sz w:val="24"/>
        <w:lang w:val="ru-RU"/>
      </w:rPr>
      <w:t>Продовження</w:t>
    </w:r>
    <w:proofErr w:type="spellEnd"/>
    <w:r w:rsidRPr="008D5050">
      <w:rPr>
        <w:rFonts w:ascii="Times New Roman" w:hAnsi="Times New Roman"/>
        <w:sz w:val="24"/>
        <w:lang w:val="ru-RU"/>
      </w:rPr>
      <w:t xml:space="preserve"> </w:t>
    </w:r>
    <w:proofErr w:type="spellStart"/>
    <w:r w:rsidRPr="008D5050">
      <w:rPr>
        <w:rFonts w:ascii="Times New Roman" w:hAnsi="Times New Roman"/>
        <w:sz w:val="24"/>
        <w:lang w:val="ru-RU"/>
      </w:rPr>
      <w:t>додатк</w:t>
    </w:r>
    <w:r w:rsidR="004078D4">
      <w:rPr>
        <w:rFonts w:ascii="Times New Roman" w:hAnsi="Times New Roman"/>
        <w:sz w:val="24"/>
        <w:lang w:val="ru-RU"/>
      </w:rPr>
      <w:t>а</w:t>
    </w:r>
    <w:proofErr w:type="spellEnd"/>
    <w:r w:rsidRPr="008D5050">
      <w:rPr>
        <w:rFonts w:ascii="Times New Roman" w:hAnsi="Times New Roman"/>
        <w:sz w:val="24"/>
        <w:lang w:val="ru-RU"/>
      </w:rPr>
      <w:t xml:space="preserve"> 7</w:t>
    </w:r>
  </w:p>
  <w:p w:rsidR="008D5050" w:rsidRPr="008D5050" w:rsidRDefault="008D5050" w:rsidP="0045013F">
    <w:pPr>
      <w:pStyle w:val="a6"/>
      <w:jc w:val="right"/>
      <w:rPr>
        <w:rFonts w:ascii="Times New Roman" w:hAnsi="Times New Roman"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21E"/>
    <w:multiLevelType w:val="multilevel"/>
    <w:tmpl w:val="83AA756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12D51"/>
    <w:rsid w:val="000327D0"/>
    <w:rsid w:val="00042C78"/>
    <w:rsid w:val="000538DB"/>
    <w:rsid w:val="00054036"/>
    <w:rsid w:val="00062E22"/>
    <w:rsid w:val="0007671E"/>
    <w:rsid w:val="00091FF1"/>
    <w:rsid w:val="000C09D4"/>
    <w:rsid w:val="000C2B50"/>
    <w:rsid w:val="000C2EC3"/>
    <w:rsid w:val="000C334D"/>
    <w:rsid w:val="00100198"/>
    <w:rsid w:val="00124403"/>
    <w:rsid w:val="00130B88"/>
    <w:rsid w:val="001361BA"/>
    <w:rsid w:val="001440A6"/>
    <w:rsid w:val="00147A69"/>
    <w:rsid w:val="00157DEC"/>
    <w:rsid w:val="00165FA9"/>
    <w:rsid w:val="0016605C"/>
    <w:rsid w:val="001701C0"/>
    <w:rsid w:val="00174D71"/>
    <w:rsid w:val="00186F77"/>
    <w:rsid w:val="00192D9D"/>
    <w:rsid w:val="001A7D69"/>
    <w:rsid w:val="001B23DC"/>
    <w:rsid w:val="001D371A"/>
    <w:rsid w:val="001D4809"/>
    <w:rsid w:val="001E3F18"/>
    <w:rsid w:val="00207945"/>
    <w:rsid w:val="002475F8"/>
    <w:rsid w:val="002770DC"/>
    <w:rsid w:val="00296A83"/>
    <w:rsid w:val="002E12D1"/>
    <w:rsid w:val="00300464"/>
    <w:rsid w:val="003021B5"/>
    <w:rsid w:val="00344FB0"/>
    <w:rsid w:val="00356FDE"/>
    <w:rsid w:val="00362A43"/>
    <w:rsid w:val="00374C7D"/>
    <w:rsid w:val="00382FC9"/>
    <w:rsid w:val="00384F5E"/>
    <w:rsid w:val="00393B7B"/>
    <w:rsid w:val="003C141F"/>
    <w:rsid w:val="003E2F63"/>
    <w:rsid w:val="003F0B23"/>
    <w:rsid w:val="004078D4"/>
    <w:rsid w:val="00425448"/>
    <w:rsid w:val="00447525"/>
    <w:rsid w:val="0045013F"/>
    <w:rsid w:val="00451D88"/>
    <w:rsid w:val="00453309"/>
    <w:rsid w:val="0046079E"/>
    <w:rsid w:val="00462704"/>
    <w:rsid w:val="00490DB1"/>
    <w:rsid w:val="004A25B8"/>
    <w:rsid w:val="004B5138"/>
    <w:rsid w:val="004D68E1"/>
    <w:rsid w:val="004E1750"/>
    <w:rsid w:val="004F3820"/>
    <w:rsid w:val="00526156"/>
    <w:rsid w:val="00526358"/>
    <w:rsid w:val="005276D0"/>
    <w:rsid w:val="00532541"/>
    <w:rsid w:val="00532B96"/>
    <w:rsid w:val="00544D5E"/>
    <w:rsid w:val="00551A23"/>
    <w:rsid w:val="00562B37"/>
    <w:rsid w:val="00565C7A"/>
    <w:rsid w:val="005F5A2E"/>
    <w:rsid w:val="0062043A"/>
    <w:rsid w:val="0064359C"/>
    <w:rsid w:val="00645F41"/>
    <w:rsid w:val="006550E7"/>
    <w:rsid w:val="006A5314"/>
    <w:rsid w:val="006C21DD"/>
    <w:rsid w:val="006F0EB5"/>
    <w:rsid w:val="006F5FE6"/>
    <w:rsid w:val="00716605"/>
    <w:rsid w:val="00735432"/>
    <w:rsid w:val="00747038"/>
    <w:rsid w:val="00753DB6"/>
    <w:rsid w:val="00754431"/>
    <w:rsid w:val="0075684E"/>
    <w:rsid w:val="00757AC6"/>
    <w:rsid w:val="00760BBA"/>
    <w:rsid w:val="0076733C"/>
    <w:rsid w:val="00770815"/>
    <w:rsid w:val="007976D3"/>
    <w:rsid w:val="007C25A9"/>
    <w:rsid w:val="007E3AB3"/>
    <w:rsid w:val="007E455C"/>
    <w:rsid w:val="007F5B97"/>
    <w:rsid w:val="007F6F08"/>
    <w:rsid w:val="00823481"/>
    <w:rsid w:val="00841B62"/>
    <w:rsid w:val="0085360D"/>
    <w:rsid w:val="008574A5"/>
    <w:rsid w:val="00857D2C"/>
    <w:rsid w:val="0086588E"/>
    <w:rsid w:val="008C02EE"/>
    <w:rsid w:val="008D4022"/>
    <w:rsid w:val="008D5050"/>
    <w:rsid w:val="008E7F6F"/>
    <w:rsid w:val="00906629"/>
    <w:rsid w:val="00914ED5"/>
    <w:rsid w:val="00916F86"/>
    <w:rsid w:val="00922CAC"/>
    <w:rsid w:val="009370F9"/>
    <w:rsid w:val="0093726A"/>
    <w:rsid w:val="00941069"/>
    <w:rsid w:val="00946FDC"/>
    <w:rsid w:val="00952289"/>
    <w:rsid w:val="00970DE4"/>
    <w:rsid w:val="00980BB7"/>
    <w:rsid w:val="00984493"/>
    <w:rsid w:val="009B2291"/>
    <w:rsid w:val="009E10E2"/>
    <w:rsid w:val="00A43E86"/>
    <w:rsid w:val="00A5273A"/>
    <w:rsid w:val="00A57089"/>
    <w:rsid w:val="00A57B07"/>
    <w:rsid w:val="00A7346C"/>
    <w:rsid w:val="00A9084B"/>
    <w:rsid w:val="00A95C1C"/>
    <w:rsid w:val="00AA10DE"/>
    <w:rsid w:val="00AC2941"/>
    <w:rsid w:val="00AE0C88"/>
    <w:rsid w:val="00B07E3C"/>
    <w:rsid w:val="00B262C3"/>
    <w:rsid w:val="00B30FA3"/>
    <w:rsid w:val="00B42F12"/>
    <w:rsid w:val="00B67C3A"/>
    <w:rsid w:val="00B84658"/>
    <w:rsid w:val="00BA50E7"/>
    <w:rsid w:val="00BB68BB"/>
    <w:rsid w:val="00BC5A45"/>
    <w:rsid w:val="00BD0D13"/>
    <w:rsid w:val="00BD43F7"/>
    <w:rsid w:val="00BE60BF"/>
    <w:rsid w:val="00BF17B3"/>
    <w:rsid w:val="00C035ED"/>
    <w:rsid w:val="00C1188D"/>
    <w:rsid w:val="00C17B69"/>
    <w:rsid w:val="00C31029"/>
    <w:rsid w:val="00C343A2"/>
    <w:rsid w:val="00C66E68"/>
    <w:rsid w:val="00C7747A"/>
    <w:rsid w:val="00C809CC"/>
    <w:rsid w:val="00C915EC"/>
    <w:rsid w:val="00CA04AC"/>
    <w:rsid w:val="00CA1859"/>
    <w:rsid w:val="00CC6B29"/>
    <w:rsid w:val="00D0724F"/>
    <w:rsid w:val="00D20853"/>
    <w:rsid w:val="00D41AE6"/>
    <w:rsid w:val="00D441DA"/>
    <w:rsid w:val="00D53FA8"/>
    <w:rsid w:val="00D57BFC"/>
    <w:rsid w:val="00D657AD"/>
    <w:rsid w:val="00D71354"/>
    <w:rsid w:val="00D7424B"/>
    <w:rsid w:val="00D777D0"/>
    <w:rsid w:val="00D8549D"/>
    <w:rsid w:val="00D905BA"/>
    <w:rsid w:val="00DA4642"/>
    <w:rsid w:val="00DA61FE"/>
    <w:rsid w:val="00E04981"/>
    <w:rsid w:val="00E15C82"/>
    <w:rsid w:val="00E54030"/>
    <w:rsid w:val="00E55D7F"/>
    <w:rsid w:val="00E649A4"/>
    <w:rsid w:val="00E774A0"/>
    <w:rsid w:val="00E900DD"/>
    <w:rsid w:val="00EA3BA4"/>
    <w:rsid w:val="00EB3EDD"/>
    <w:rsid w:val="00EB6CB5"/>
    <w:rsid w:val="00EE3E5D"/>
    <w:rsid w:val="00EE5136"/>
    <w:rsid w:val="00F101DF"/>
    <w:rsid w:val="00F20E88"/>
    <w:rsid w:val="00F23B60"/>
    <w:rsid w:val="00F366E6"/>
    <w:rsid w:val="00F54FB8"/>
    <w:rsid w:val="00F560DA"/>
    <w:rsid w:val="00F93F61"/>
    <w:rsid w:val="00F94638"/>
    <w:rsid w:val="00FA5E7D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B3871"/>
  <w15:docId w15:val="{486D0748-D934-49F0-AB54-CFFC33E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rsid w:val="006A5314"/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table" w:styleId="a3">
    <w:name w:val="Table Grid"/>
    <w:basedOn w:val="a1"/>
    <w:rsid w:val="006A53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4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semiHidden/>
    <w:locked/>
    <w:rsid w:val="001440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50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45013F"/>
    <w:rPr>
      <w:rFonts w:eastAsia="Times New Roman" w:cs="Times New Roman"/>
    </w:rPr>
  </w:style>
  <w:style w:type="paragraph" w:styleId="a8">
    <w:name w:val="footer"/>
    <w:basedOn w:val="a"/>
    <w:link w:val="a9"/>
    <w:rsid w:val="004501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locked/>
    <w:rsid w:val="0045013F"/>
    <w:rPr>
      <w:rFonts w:eastAsia="Times New Roman" w:cs="Times New Roman"/>
    </w:rPr>
  </w:style>
  <w:style w:type="paragraph" w:customStyle="1" w:styleId="1">
    <w:name w:val="Абзац списку1"/>
    <w:basedOn w:val="a"/>
    <w:rsid w:val="00916F86"/>
    <w:pPr>
      <w:ind w:left="720"/>
      <w:contextualSpacing/>
    </w:pPr>
  </w:style>
  <w:style w:type="character" w:customStyle="1" w:styleId="st131">
    <w:name w:val="st131"/>
    <w:uiPriority w:val="99"/>
    <w:rsid w:val="009370F9"/>
    <w:rPr>
      <w:i/>
      <w:iCs/>
      <w:color w:val="0000FF"/>
    </w:rPr>
  </w:style>
  <w:style w:type="character" w:customStyle="1" w:styleId="st46">
    <w:name w:val="st46"/>
    <w:uiPriority w:val="99"/>
    <w:rsid w:val="009370F9"/>
    <w:rPr>
      <w:i/>
      <w:iCs/>
      <w:color w:val="000000"/>
    </w:rPr>
  </w:style>
  <w:style w:type="character" w:customStyle="1" w:styleId="st121">
    <w:name w:val="st121"/>
    <w:uiPriority w:val="99"/>
    <w:rsid w:val="00E774A0"/>
    <w:rPr>
      <w:i/>
      <w:iCs/>
      <w:color w:val="000000"/>
    </w:rPr>
  </w:style>
  <w:style w:type="character" w:customStyle="1" w:styleId="st42">
    <w:name w:val="st42"/>
    <w:uiPriority w:val="99"/>
    <w:rsid w:val="00C809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14749</Words>
  <Characters>8407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11</cp:revision>
  <cp:lastPrinted>2019-11-12T15:21:00Z</cp:lastPrinted>
  <dcterms:created xsi:type="dcterms:W3CDTF">2022-12-13T05:28:00Z</dcterms:created>
  <dcterms:modified xsi:type="dcterms:W3CDTF">2022-12-13T05:30:00Z</dcterms:modified>
</cp:coreProperties>
</file>