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770E">
      <w:pPr>
        <w:pStyle w:val="ad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567690</wp:posOffset>
            </wp:positionV>
            <wp:extent cx="523875" cy="724535"/>
            <wp:effectExtent l="0" t="0" r="0" b="0"/>
            <wp:wrapNone/>
            <wp:docPr id="32" name="Рисунок 7" descr="C:\Users\msp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msp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13">
        <w:rPr>
          <w:rFonts w:ascii="Times New Roman" w:hAnsi="Times New Roman"/>
          <w:sz w:val="24"/>
          <w:szCs w:val="24"/>
        </w:rPr>
        <w:t>ЗАТВЕРДЖЕНО</w:t>
      </w:r>
      <w:r w:rsidR="00BE6B13">
        <w:rPr>
          <w:rFonts w:ascii="Times New Roman" w:hAnsi="Times New Roman"/>
          <w:sz w:val="24"/>
          <w:szCs w:val="24"/>
        </w:rPr>
        <w:br/>
      </w:r>
      <w:r w:rsidR="00BE6B13">
        <w:rPr>
          <w:rFonts w:ascii="Times New Roman" w:hAnsi="Times New Roman"/>
          <w:sz w:val="24"/>
          <w:szCs w:val="24"/>
        </w:rPr>
        <w:t>постановою Кабінету Міністрів України</w:t>
      </w:r>
      <w:r w:rsidR="00BE6B13">
        <w:rPr>
          <w:rFonts w:ascii="Times New Roman" w:hAnsi="Times New Roman"/>
          <w:sz w:val="24"/>
          <w:szCs w:val="24"/>
        </w:rPr>
        <w:br/>
      </w:r>
      <w:r w:rsidR="00BE6B13">
        <w:rPr>
          <w:rFonts w:ascii="Times New Roman" w:hAnsi="Times New Roman"/>
          <w:sz w:val="24"/>
          <w:szCs w:val="24"/>
        </w:rPr>
        <w:t>від 27 вересня 2022 р. № 1092</w:t>
      </w:r>
    </w:p>
    <w:p w:rsidR="00000000" w:rsidRDefault="00BE6B13">
      <w:pPr>
        <w:pStyle w:val="a9"/>
        <w:jc w:val="both"/>
        <w:rPr>
          <w:b/>
          <w:bCs/>
          <w:sz w:val="8"/>
          <w:szCs w:val="8"/>
        </w:rPr>
      </w:pPr>
    </w:p>
    <w:p w:rsidR="00000000" w:rsidRDefault="00BE6B13">
      <w:pPr>
        <w:pStyle w:val="a9"/>
        <w:jc w:val="both"/>
        <w:rPr>
          <w:b/>
          <w:bCs/>
          <w:sz w:val="8"/>
          <w:szCs w:val="8"/>
        </w:rPr>
      </w:pPr>
    </w:p>
    <w:p w:rsidR="00000000" w:rsidRDefault="00BE6B13">
      <w:pPr>
        <w:pStyle w:val="a9"/>
        <w:jc w:val="both"/>
        <w:rPr>
          <w:b/>
          <w:bCs/>
          <w:sz w:val="8"/>
          <w:szCs w:val="8"/>
        </w:rPr>
      </w:pPr>
    </w:p>
    <w:p w:rsidR="00000000" w:rsidRDefault="00BE6B13">
      <w:pPr>
        <w:keepNext/>
        <w:jc w:val="center"/>
        <w:rPr>
          <w:b/>
          <w:bCs/>
          <w:sz w:val="8"/>
          <w:szCs w:val="8"/>
        </w:rPr>
      </w:pPr>
    </w:p>
    <w:p w:rsidR="00000000" w:rsidRDefault="00BE6B13">
      <w:pPr>
        <w:keepNext/>
        <w:jc w:val="center"/>
        <w:rPr>
          <w:b/>
          <w:bCs/>
          <w:sz w:val="8"/>
          <w:szCs w:val="8"/>
        </w:rPr>
      </w:pPr>
    </w:p>
    <w:p w:rsidR="00000000" w:rsidRDefault="00BE6B13">
      <w:pPr>
        <w:pStyle w:val="a9"/>
        <w:jc w:val="center"/>
      </w:pPr>
      <w:r>
        <w:t>ДЕРЖАВНА МИТНА СЛУЖБА УКРАЇНИ</w:t>
      </w:r>
    </w:p>
    <w:p w:rsidR="00000000" w:rsidRDefault="00BE6B13">
      <w:pPr>
        <w:pStyle w:val="a9"/>
        <w:spacing w:before="360" w:beforeAutospacing="0" w:after="0" w:afterAutospacing="0"/>
        <w:jc w:val="center"/>
      </w:pPr>
      <w:r>
        <w:t>АВТОРИЗАЦІЯ</w:t>
      </w:r>
      <w:r>
        <w:br/>
      </w:r>
      <w:r>
        <w:t>авторизованого економічного оператора*</w:t>
      </w:r>
    </w:p>
    <w:p w:rsidR="00000000" w:rsidRDefault="00BE6B1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1"/>
      </w:tblGrid>
      <w:tr w:rsidR="00000000"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E6B13">
            <w:pPr>
              <w:pStyle w:val="a9"/>
              <w:jc w:val="both"/>
            </w:pPr>
          </w:p>
          <w:p w:rsidR="00000000" w:rsidRDefault="00BE6B13">
            <w:pPr>
              <w:pStyle w:val="a9"/>
              <w:jc w:val="both"/>
            </w:pPr>
          </w:p>
        </w:tc>
        <w:tc>
          <w:tcPr>
            <w:tcW w:w="5211" w:type="dxa"/>
            <w:vAlign w:val="center"/>
          </w:tcPr>
          <w:p w:rsidR="00000000" w:rsidRDefault="00BE6B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(номер авторизації)</w:t>
            </w:r>
          </w:p>
        </w:tc>
      </w:tr>
      <w:tr w:rsidR="00000000">
        <w:tc>
          <w:tcPr>
            <w:tcW w:w="4644" w:type="dxa"/>
            <w:tcBorders>
              <w:top w:val="single" w:sz="4" w:space="0" w:color="auto"/>
            </w:tcBorders>
          </w:tcPr>
          <w:p w:rsidR="00000000" w:rsidRDefault="00BE6B13">
            <w:pPr>
              <w:pStyle w:val="a9"/>
              <w:tabs>
                <w:tab w:val="left" w:pos="284"/>
              </w:tabs>
              <w:jc w:val="both"/>
            </w:pPr>
            <w:r>
              <w:t>1.</w:t>
            </w:r>
            <w:r>
              <w:rPr>
                <w:lang w:val="uk-UA"/>
              </w:rPr>
              <w:t xml:space="preserve"> </w:t>
            </w:r>
            <w:r>
              <w:t>Найменування підприємства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____</w:t>
            </w:r>
            <w:r>
              <w:rPr>
                <w:b/>
              </w:rPr>
              <w:t>______________________________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000000" w:rsidRDefault="00BE6B13">
            <w:pPr>
              <w:pStyle w:val="a9"/>
              <w:jc w:val="both"/>
            </w:pPr>
            <w:r>
              <w:t>__________________________________</w:t>
            </w:r>
          </w:p>
          <w:p w:rsidR="00000000" w:rsidRDefault="00BE6B13">
            <w:pPr>
              <w:pStyle w:val="a9"/>
              <w:jc w:val="both"/>
            </w:pPr>
            <w:r>
              <w:t>__________________________________</w:t>
            </w:r>
          </w:p>
          <w:p w:rsidR="00000000" w:rsidRDefault="00BE6B13">
            <w:pPr>
              <w:pStyle w:val="a9"/>
              <w:jc w:val="both"/>
            </w:pPr>
            <w:r>
              <w:t>__________________________________</w:t>
            </w:r>
          </w:p>
        </w:tc>
        <w:tc>
          <w:tcPr>
            <w:tcW w:w="5211" w:type="dxa"/>
          </w:tcPr>
          <w:p w:rsidR="00000000" w:rsidRDefault="00BE6B13">
            <w:pPr>
              <w:pStyle w:val="a9"/>
              <w:tabs>
                <w:tab w:val="left" w:pos="184"/>
              </w:tabs>
              <w:jc w:val="both"/>
            </w:pPr>
            <w:r>
              <w:t>2.</w:t>
            </w:r>
            <w:r>
              <w:rPr>
                <w:lang w:val="uk-UA"/>
              </w:rPr>
              <w:t xml:space="preserve"> </w:t>
            </w:r>
            <w:r>
              <w:t>Митний орган, який прийняв рішення про надання авторизації авторизованого економіч</w:t>
            </w:r>
            <w:r>
              <w:t xml:space="preserve">ного оператора 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000000" w:rsidRDefault="00BE6B13">
            <w:pPr>
              <w:pStyle w:val="a9"/>
              <w:jc w:val="both"/>
            </w:pPr>
            <w:r>
              <w:t>________________________________________</w:t>
            </w:r>
          </w:p>
          <w:p w:rsidR="00000000" w:rsidRDefault="00BE6B13">
            <w:pPr>
              <w:pStyle w:val="a9"/>
              <w:jc w:val="both"/>
            </w:pPr>
          </w:p>
          <w:p w:rsidR="00000000" w:rsidRDefault="00BE6B13">
            <w:pPr>
              <w:pStyle w:val="a9"/>
              <w:spacing w:before="0" w:beforeAutospacing="0" w:after="0" w:afterAutospacing="0"/>
              <w:jc w:val="both"/>
            </w:pPr>
            <w:r>
              <w:t>_________   ___________</w:t>
            </w:r>
            <w:r>
              <w:rPr>
                <w:sz w:val="20"/>
                <w:szCs w:val="20"/>
              </w:rPr>
              <w:t xml:space="preserve">    </w:t>
            </w:r>
            <w:r>
              <w:t>______________</w:t>
            </w:r>
            <w:r>
              <w:rPr>
                <w:lang w:val="uk-UA"/>
              </w:rPr>
              <w:t>_</w:t>
            </w:r>
            <w:r>
              <w:t>___</w:t>
            </w: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(дата)       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 xml:space="preserve">   (п</w:t>
            </w:r>
            <w:r>
              <w:rPr>
                <w:sz w:val="20"/>
                <w:szCs w:val="20"/>
              </w:rPr>
              <w:t xml:space="preserve">ідпис )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sz w:val="20"/>
              </w:rPr>
              <w:t>власне ім’я, прізвище</w:t>
            </w:r>
            <w:r>
              <w:rPr>
                <w:sz w:val="20"/>
                <w:szCs w:val="20"/>
              </w:rPr>
              <w:t xml:space="preserve"> )</w:t>
            </w:r>
          </w:p>
          <w:p w:rsidR="00000000" w:rsidRDefault="0059770E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47625</wp:posOffset>
                      </wp:positionV>
                      <wp:extent cx="819150" cy="752475"/>
                      <wp:effectExtent l="0" t="0" r="0" b="0"/>
                      <wp:wrapNone/>
                      <wp:docPr id="3" name="Автофигуры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52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BC53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Автофигуры 33" o:spid="_x0000_s1026" type="#_x0000_t120" style="position:absolute;margin-left:174.8pt;margin-top:3.75pt;width:64.5pt;height:5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"/>
                  </w:pict>
                </mc:Fallback>
              </mc:AlternateContent>
            </w: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00000" w:rsidRDefault="00BE6B13">
            <w:pPr>
              <w:pStyle w:val="a9"/>
              <w:tabs>
                <w:tab w:val="left" w:pos="1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BE6B13">
      <w:pPr>
        <w:pStyle w:val="a9"/>
        <w:ind w:firstLine="567"/>
        <w:jc w:val="both"/>
      </w:pPr>
      <w:r>
        <w:t>Підприємству, відомості про яке наведено в графі 1, надано авторизацію авторизованого економічного оператора типу:</w:t>
      </w:r>
    </w:p>
    <w:p w:rsidR="00000000" w:rsidRDefault="0059770E">
      <w:pPr>
        <w:pStyle w:val="a9"/>
        <w:ind w:firstLine="567"/>
        <w:jc w:val="both"/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101600</wp:posOffset>
                </wp:positionV>
                <wp:extent cx="160020" cy="144780"/>
                <wp:effectExtent l="0" t="0" r="0" b="0"/>
                <wp:wrapNone/>
                <wp:docPr id="2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13BD" id="Прямоугольник 34" o:spid="_x0000_s1026" style="position:absolute;margin-left:8.35pt;margin-top:8pt;width:12.6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"/>
            </w:pict>
          </mc:Fallback>
        </mc:AlternateContent>
      </w:r>
      <w:r w:rsidR="00BE6B13">
        <w:t>про надання права на застосування спрощень;</w:t>
      </w:r>
    </w:p>
    <w:p w:rsidR="00000000" w:rsidRDefault="0059770E">
      <w:pPr>
        <w:pStyle w:val="a9"/>
        <w:ind w:firstLine="567"/>
        <w:jc w:val="both"/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67310</wp:posOffset>
                </wp:positionV>
                <wp:extent cx="160020" cy="144780"/>
                <wp:effectExtent l="0" t="0" r="0" b="0"/>
                <wp:wrapNone/>
                <wp:docPr id="1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FEA" id="Прямоугольник 35" o:spid="_x0000_s1026" style="position:absolute;margin-left:8.35pt;margin-top:5.3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"/>
            </w:pict>
          </mc:Fallback>
        </mc:AlternateContent>
      </w:r>
      <w:r w:rsidR="00BE6B13">
        <w:t>про підтвердження безпеки та надійності.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00000">
        <w:trPr>
          <w:trHeight w:val="669"/>
        </w:trPr>
        <w:tc>
          <w:tcPr>
            <w:tcW w:w="9855" w:type="dxa"/>
          </w:tcPr>
          <w:p w:rsidR="00000000" w:rsidRDefault="00BE6B13">
            <w:pPr>
              <w:pStyle w:val="a9"/>
              <w:tabs>
                <w:tab w:val="left" w:pos="284"/>
              </w:tabs>
              <w:jc w:val="both"/>
            </w:pPr>
            <w:r>
              <w:t>3.</w:t>
            </w:r>
            <w:r>
              <w:rPr>
                <w:lang w:val="uk-UA"/>
              </w:rPr>
              <w:t xml:space="preserve"> </w:t>
            </w:r>
            <w:r>
              <w:t>Д</w:t>
            </w:r>
            <w:r>
              <w:t>ата, з якої авторизація набирає чинності</w:t>
            </w:r>
          </w:p>
          <w:p w:rsidR="00000000" w:rsidRDefault="00BE6B13">
            <w:pPr>
              <w:pStyle w:val="a9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BE6B13">
      <w:pPr>
        <w:pStyle w:val="a9"/>
        <w:spacing w:before="0" w:beforeAutospacing="0"/>
        <w:jc w:val="both"/>
      </w:pPr>
      <w:r>
        <w:t>_____________</w:t>
      </w:r>
    </w:p>
    <w:p w:rsidR="00000000" w:rsidRDefault="00BE6B13">
      <w:pPr>
        <w:pStyle w:val="a9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* Пояснення до заповнення авторизації авторизованого економічного оператора наведено в додатку.</w:t>
      </w:r>
    </w:p>
    <w:p w:rsidR="00000000" w:rsidRDefault="00BE6B13">
      <w:pPr>
        <w:pStyle w:val="a9"/>
        <w:spacing w:before="0" w:beforeAutospacing="0"/>
        <w:jc w:val="center"/>
      </w:pPr>
    </w:p>
    <w:p w:rsidR="00000000" w:rsidRDefault="00BE6B13">
      <w:pPr>
        <w:pStyle w:val="a9"/>
        <w:jc w:val="both"/>
        <w:sectPr w:rsidR="00000000">
          <w:headerReference w:type="default" r:id="rId8"/>
          <w:pgSz w:w="11906" w:h="16838"/>
          <w:pgMar w:top="1135" w:right="850" w:bottom="850" w:left="1417" w:header="708" w:footer="708" w:gutter="0"/>
          <w:cols w:space="720"/>
          <w:titlePg/>
          <w:docGrid w:linePitch="360"/>
        </w:sectPr>
      </w:pPr>
    </w:p>
    <w:p w:rsidR="00000000" w:rsidRDefault="00BE6B1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 форми авторизації авторизованого економічного оператора</w:t>
      </w:r>
    </w:p>
    <w:p w:rsidR="00000000" w:rsidRDefault="00BE6B13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ПОЯСНЕННЯ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до заповнення авторизаці</w:t>
      </w:r>
      <w:r>
        <w:rPr>
          <w:rFonts w:ascii="Times New Roman" w:hAnsi="Times New Roman"/>
          <w:b w:val="0"/>
          <w:sz w:val="24"/>
          <w:szCs w:val="24"/>
        </w:rPr>
        <w:t xml:space="preserve">ї авторизованого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економічного оператора</w:t>
      </w:r>
    </w:p>
    <w:p w:rsidR="00000000" w:rsidRDefault="00BE6B1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авторизації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реєстраційний номер, який формується згідно з додатком 4 до Порядку проведення митними органами оцінки (повторної оцінки) відповідності підприємства критеріям та/або умовам над</w:t>
      </w:r>
      <w:r>
        <w:rPr>
          <w:rFonts w:ascii="Times New Roman" w:hAnsi="Times New Roman"/>
          <w:color w:val="000000"/>
          <w:sz w:val="24"/>
          <w:szCs w:val="24"/>
        </w:rPr>
        <w:t>ання авторизації, затвердженого постановою Кабінету Міністрів України від 27 вересня 2022 р. № 1092 “Деякі питання реалізації положень Митного кодексу України щодо надання авторизацій”.</w:t>
      </w:r>
    </w:p>
    <w:p w:rsidR="00000000" w:rsidRDefault="00BE6B1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Найменування підприємства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зазначається: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</w:t>
      </w:r>
      <w:r>
        <w:rPr>
          <w:rFonts w:ascii="Times New Roman" w:hAnsi="Times New Roman"/>
          <w:sz w:val="24"/>
          <w:szCs w:val="24"/>
        </w:rPr>
        <w:t xml:space="preserve">підприємства відповідно до Єдиного державного реєстру юридичних осіб,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формувань;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індивідуальний податковий номер платника податку на додану вартість (за наявності);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обліковий номер особи, наданий згідно із статтею</w:t>
      </w:r>
      <w:r>
        <w:rPr>
          <w:rFonts w:ascii="Times New Roman" w:hAnsi="Times New Roman"/>
          <w:sz w:val="24"/>
          <w:szCs w:val="24"/>
        </w:rPr>
        <w:t xml:space="preserve"> 455 Митного кодексу України;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податків/код згідно з ЄДРПОУ: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для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реєстраційний номер облікової картки платника податків;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для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підприємців, які мають відмітку в па</w:t>
      </w:r>
      <w:r>
        <w:rPr>
          <w:rFonts w:ascii="Times New Roman" w:hAnsi="Times New Roman"/>
          <w:sz w:val="24"/>
          <w:szCs w:val="24"/>
        </w:rPr>
        <w:t xml:space="preserve">спорті про право здійснювати будь-які платежі за серією та номером паспорта,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серія (за наявності) та номер паспорта;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юридичних осіб та відокремлених підрозділів іноземних компаній, організацій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код згідно з ЄДРПОУ.</w:t>
      </w:r>
    </w:p>
    <w:p w:rsidR="00000000" w:rsidRDefault="00BE6B1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Митний орган, який прийняв рі</w:t>
      </w:r>
      <w:r>
        <w:rPr>
          <w:rFonts w:ascii="Times New Roman" w:hAnsi="Times New Roman"/>
          <w:bCs/>
          <w:sz w:val="24"/>
          <w:szCs w:val="24"/>
        </w:rPr>
        <w:t xml:space="preserve">шення про надання авторизації </w:t>
      </w:r>
      <w:r>
        <w:rPr>
          <w:rFonts w:ascii="Times New Roman" w:hAnsi="Times New Roman"/>
          <w:sz w:val="24"/>
          <w:szCs w:val="24"/>
        </w:rPr>
        <w:t>авторизованого економічного оператора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найменування митного органу, який прийняв рішення про надання авторизації авторизованого економічного оператора, прізвище та власне ім’я керівника митного органу або у</w:t>
      </w:r>
      <w:r>
        <w:rPr>
          <w:rFonts w:ascii="Times New Roman" w:hAnsi="Times New Roman"/>
          <w:sz w:val="24"/>
          <w:szCs w:val="24"/>
        </w:rPr>
        <w:t>повноваженої ним особи, що підписують авторизацію, дата прийняття рішення та печатка такого органу.</w:t>
      </w:r>
    </w:p>
    <w:p w:rsidR="00000000" w:rsidRDefault="00BE6B1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 авторизації авторизованого економічного оператора</w:t>
      </w:r>
    </w:p>
    <w:p w:rsidR="00000000" w:rsidRDefault="00BE6B1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робиться позначка про тип авторизації </w:t>
      </w:r>
      <w:r>
        <w:rPr>
          <w:rFonts w:ascii="Times New Roman" w:hAnsi="Times New Roman"/>
          <w:bCs/>
          <w:sz w:val="24"/>
          <w:szCs w:val="24"/>
        </w:rPr>
        <w:t>авторизованого економічного оператора</w:t>
      </w:r>
      <w:r>
        <w:rPr>
          <w:rFonts w:ascii="Times New Roman" w:hAnsi="Times New Roman"/>
          <w:sz w:val="24"/>
          <w:szCs w:val="24"/>
        </w:rPr>
        <w:t>, яка надається під</w:t>
      </w:r>
      <w:r>
        <w:rPr>
          <w:rFonts w:ascii="Times New Roman" w:hAnsi="Times New Roman"/>
          <w:sz w:val="24"/>
          <w:szCs w:val="24"/>
        </w:rPr>
        <w:t>приємству.</w:t>
      </w:r>
    </w:p>
    <w:p w:rsidR="00000000" w:rsidRDefault="00BE6B1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Дата, з якої авторизація набирає чинності </w:t>
      </w:r>
    </w:p>
    <w:p w:rsidR="00BE6B13" w:rsidRDefault="00BE6B13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дата набрання чинності рішенням про надання авторизації </w:t>
      </w:r>
      <w:r>
        <w:rPr>
          <w:rFonts w:ascii="Times New Roman" w:hAnsi="Times New Roman"/>
          <w:bCs/>
          <w:sz w:val="24"/>
          <w:szCs w:val="24"/>
        </w:rPr>
        <w:t>авторизованого економічного оператора</w:t>
      </w:r>
      <w:r>
        <w:rPr>
          <w:rFonts w:ascii="Times New Roman" w:hAnsi="Times New Roman"/>
          <w:sz w:val="24"/>
          <w:szCs w:val="24"/>
        </w:rPr>
        <w:t xml:space="preserve"> відповідно до статті 19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Митного кодексу України у форматі ДД.ММ.РРРР, де ДД </w:t>
      </w: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, ММ </w:t>
      </w: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місяць, РРРР </w:t>
      </w:r>
      <w:r>
        <w:rPr>
          <w:rFonts w:ascii="Times New Roman" w:hAnsi="Times New Roman"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рік.</w:t>
      </w:r>
    </w:p>
    <w:sectPr w:rsidR="00BE6B13">
      <w:headerReference w:type="even" r:id="rId9"/>
      <w:headerReference w:type="default" r:id="rId10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13" w:rsidRDefault="00BE6B13">
      <w:r>
        <w:separator/>
      </w:r>
    </w:p>
  </w:endnote>
  <w:endnote w:type="continuationSeparator" w:id="0">
    <w:p w:rsidR="00BE6B13" w:rsidRDefault="00B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13" w:rsidRDefault="00BE6B13">
      <w:r>
        <w:separator/>
      </w:r>
    </w:p>
  </w:footnote>
  <w:footnote w:type="continuationSeparator" w:id="0">
    <w:p w:rsidR="00BE6B13" w:rsidRDefault="00BE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6B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 w:eastAsia="uk-UA"/>
      </w:rPr>
      <w:t>4</w:t>
    </w:r>
    <w:r>
      <w:fldChar w:fldCharType="end"/>
    </w:r>
  </w:p>
  <w:p w:rsidR="00000000" w:rsidRDefault="00BE6B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6B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BE6B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6B1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uk-UA" w:eastAsia="uk-UA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000000" w:rsidRDefault="00BE6B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17355"/>
    <w:rsid w:val="0014522B"/>
    <w:rsid w:val="001A0DFF"/>
    <w:rsid w:val="001A5FC5"/>
    <w:rsid w:val="00210F96"/>
    <w:rsid w:val="00215154"/>
    <w:rsid w:val="00266EC6"/>
    <w:rsid w:val="002841C7"/>
    <w:rsid w:val="00316492"/>
    <w:rsid w:val="003E318A"/>
    <w:rsid w:val="00401D2A"/>
    <w:rsid w:val="0048022E"/>
    <w:rsid w:val="004A471D"/>
    <w:rsid w:val="004C29EB"/>
    <w:rsid w:val="00525BBB"/>
    <w:rsid w:val="00557A43"/>
    <w:rsid w:val="00590530"/>
    <w:rsid w:val="0059770E"/>
    <w:rsid w:val="005F0107"/>
    <w:rsid w:val="0063408E"/>
    <w:rsid w:val="0066721F"/>
    <w:rsid w:val="006C708B"/>
    <w:rsid w:val="006F2C8E"/>
    <w:rsid w:val="007D3620"/>
    <w:rsid w:val="007D7BAD"/>
    <w:rsid w:val="00813211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C4482"/>
    <w:rsid w:val="00AC470D"/>
    <w:rsid w:val="00AC4905"/>
    <w:rsid w:val="00AE378F"/>
    <w:rsid w:val="00B45FC0"/>
    <w:rsid w:val="00BA3F43"/>
    <w:rsid w:val="00BE6B13"/>
    <w:rsid w:val="00C708DB"/>
    <w:rsid w:val="00C70A43"/>
    <w:rsid w:val="00CD62AF"/>
    <w:rsid w:val="00CE600A"/>
    <w:rsid w:val="00D55057"/>
    <w:rsid w:val="00D62814"/>
    <w:rsid w:val="00DC129A"/>
    <w:rsid w:val="00DC64C3"/>
    <w:rsid w:val="00E14E67"/>
    <w:rsid w:val="00F42D5B"/>
    <w:rsid w:val="00F96305"/>
    <w:rsid w:val="04F4568F"/>
    <w:rsid w:val="08FD17C0"/>
    <w:rsid w:val="0FFC5D23"/>
    <w:rsid w:val="121548EA"/>
    <w:rsid w:val="17F53CDA"/>
    <w:rsid w:val="19791440"/>
    <w:rsid w:val="1EE555A7"/>
    <w:rsid w:val="2E526506"/>
    <w:rsid w:val="4364538A"/>
    <w:rsid w:val="5B903A27"/>
    <w:rsid w:val="794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B11A-D21B-4DE1-856B-3EE59C93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msp\AppData\Roaming\Liga70\Client\Session\TSIGN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2022-10-13T12:59:00Z</dcterms:created>
  <dcterms:modified xsi:type="dcterms:W3CDTF">2022-10-13T13:00:00Z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CFBBE081DBF94D0BA850DCC32F349491</vt:lpwstr>
  </property>
</Properties>
</file>