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F9" w:rsidRPr="004139EF" w:rsidRDefault="008C54F9" w:rsidP="003F142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4139EF">
        <w:rPr>
          <w:rFonts w:ascii="Times New Roman" w:hAnsi="Times New Roman"/>
          <w:sz w:val="24"/>
          <w:szCs w:val="24"/>
          <w:lang w:eastAsia="uk-UA"/>
        </w:rPr>
        <w:t>Додаток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951B05">
        <w:rPr>
          <w:rFonts w:ascii="Times New Roman" w:hAnsi="Times New Roman"/>
          <w:sz w:val="24"/>
          <w:szCs w:val="24"/>
          <w:lang w:eastAsia="uk-UA"/>
        </w:rPr>
        <w:t>1</w:t>
      </w:r>
      <w:r w:rsidR="000D2C19" w:rsidRPr="00951B05">
        <w:rPr>
          <w:rFonts w:ascii="Times New Roman" w:hAnsi="Times New Roman"/>
          <w:sz w:val="24"/>
          <w:szCs w:val="24"/>
          <w:lang w:eastAsia="uk-UA"/>
        </w:rPr>
        <w:t>0</w:t>
      </w:r>
    </w:p>
    <w:p w:rsidR="008C54F9" w:rsidRPr="004139EF" w:rsidRDefault="008C54F9" w:rsidP="00990D3B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uk-UA"/>
        </w:rPr>
      </w:pPr>
      <w:r w:rsidRPr="004139EF">
        <w:rPr>
          <w:rFonts w:ascii="Times New Roman" w:hAnsi="Times New Roman"/>
          <w:sz w:val="24"/>
          <w:szCs w:val="24"/>
          <w:lang w:eastAsia="uk-UA"/>
        </w:rPr>
        <w:t>до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Порядку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контролю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за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дотриманням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ліцензіатами,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що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провадять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діяльність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90D3B">
        <w:rPr>
          <w:rFonts w:ascii="Times New Roman" w:hAnsi="Times New Roman"/>
          <w:sz w:val="24"/>
          <w:szCs w:val="24"/>
          <w:lang w:eastAsia="uk-UA"/>
        </w:rPr>
        <w:br/>
      </w:r>
      <w:r w:rsidRPr="004139EF">
        <w:rPr>
          <w:rFonts w:ascii="Times New Roman" w:hAnsi="Times New Roman"/>
          <w:sz w:val="24"/>
          <w:szCs w:val="24"/>
          <w:lang w:eastAsia="uk-UA"/>
        </w:rPr>
        <w:t>у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сферах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енергетики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та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комунальних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90D3B">
        <w:rPr>
          <w:rFonts w:ascii="Times New Roman" w:hAnsi="Times New Roman"/>
          <w:sz w:val="24"/>
          <w:szCs w:val="24"/>
          <w:lang w:eastAsia="uk-UA"/>
        </w:rPr>
        <w:br/>
      </w:r>
      <w:r w:rsidRPr="004139EF">
        <w:rPr>
          <w:rFonts w:ascii="Times New Roman" w:hAnsi="Times New Roman"/>
          <w:sz w:val="24"/>
          <w:szCs w:val="24"/>
          <w:lang w:eastAsia="uk-UA"/>
        </w:rPr>
        <w:t>послуг,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законодавства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у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відповідних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990D3B">
        <w:rPr>
          <w:rFonts w:ascii="Times New Roman" w:hAnsi="Times New Roman"/>
          <w:sz w:val="24"/>
          <w:szCs w:val="24"/>
          <w:lang w:eastAsia="uk-UA"/>
        </w:rPr>
        <w:br/>
      </w:r>
      <w:r w:rsidRPr="004139EF">
        <w:rPr>
          <w:rFonts w:ascii="Times New Roman" w:hAnsi="Times New Roman"/>
          <w:sz w:val="24"/>
          <w:szCs w:val="24"/>
          <w:lang w:eastAsia="uk-UA"/>
        </w:rPr>
        <w:t>сферах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та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ліцензійних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умов</w:t>
      </w:r>
    </w:p>
    <w:p w:rsidR="008C54F9" w:rsidRPr="004139EF" w:rsidRDefault="008C54F9" w:rsidP="003F1425">
      <w:pPr>
        <w:spacing w:after="0" w:line="240" w:lineRule="auto"/>
        <w:ind w:left="5670" w:right="-28"/>
        <w:rPr>
          <w:rFonts w:ascii="Times New Roman" w:hAnsi="Times New Roman"/>
          <w:sz w:val="24"/>
          <w:szCs w:val="24"/>
          <w:lang w:eastAsia="uk-UA"/>
        </w:rPr>
      </w:pPr>
      <w:r w:rsidRPr="004139EF">
        <w:rPr>
          <w:rFonts w:ascii="Times New Roman" w:hAnsi="Times New Roman"/>
          <w:sz w:val="24"/>
          <w:szCs w:val="24"/>
          <w:lang w:eastAsia="uk-UA"/>
        </w:rPr>
        <w:t>(пункти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3.7,</w:t>
      </w:r>
      <w:r w:rsidR="00990D3B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4139EF">
        <w:rPr>
          <w:rFonts w:ascii="Times New Roman" w:hAnsi="Times New Roman"/>
          <w:sz w:val="24"/>
          <w:szCs w:val="24"/>
          <w:lang w:eastAsia="uk-UA"/>
        </w:rPr>
        <w:t>7.1)</w:t>
      </w:r>
    </w:p>
    <w:p w:rsidR="008C54F9" w:rsidRPr="004139EF" w:rsidRDefault="008C54F9" w:rsidP="003F1425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54F9" w:rsidRPr="004139EF" w:rsidRDefault="008C54F9" w:rsidP="00587202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39EF">
        <w:rPr>
          <w:rFonts w:ascii="Times New Roman" w:hAnsi="Times New Roman"/>
          <w:b/>
          <w:sz w:val="24"/>
          <w:szCs w:val="24"/>
          <w:lang w:eastAsia="ru-RU"/>
        </w:rPr>
        <w:t>ПЕРЕЛІК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ПИТАНЬ</w:t>
      </w:r>
    </w:p>
    <w:p w:rsidR="008C54F9" w:rsidRPr="004139EF" w:rsidRDefault="008C54F9" w:rsidP="00587202">
      <w:pPr>
        <w:spacing w:after="0" w:line="240" w:lineRule="auto"/>
        <w:ind w:left="-28" w:right="-28"/>
        <w:jc w:val="center"/>
        <w:rPr>
          <w:rFonts w:ascii="Times New Roman" w:hAnsi="Times New Roman"/>
          <w:sz w:val="24"/>
          <w:szCs w:val="24"/>
        </w:rPr>
      </w:pPr>
      <w:r w:rsidRPr="004139EF">
        <w:rPr>
          <w:rFonts w:ascii="Times New Roman" w:hAnsi="Times New Roman"/>
          <w:b/>
          <w:sz w:val="24"/>
          <w:szCs w:val="24"/>
          <w:lang w:eastAsia="ru-RU"/>
        </w:rPr>
        <w:t>для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перевірки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дотримання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вимог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законодавства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та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ліцензійних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умов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провадження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господарської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діяльності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з</w:t>
      </w:r>
      <w:r w:rsidR="00990D3B">
        <w:rPr>
          <w:rFonts w:ascii="Times New Roman" w:hAnsi="Times New Roman"/>
          <w:sz w:val="24"/>
          <w:szCs w:val="24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розподілу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електричної</w:t>
      </w:r>
      <w:r w:rsidR="00990D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139EF">
        <w:rPr>
          <w:rFonts w:ascii="Times New Roman" w:hAnsi="Times New Roman"/>
          <w:b/>
          <w:sz w:val="24"/>
          <w:szCs w:val="24"/>
          <w:lang w:eastAsia="ru-RU"/>
        </w:rPr>
        <w:t>енергії</w:t>
      </w:r>
    </w:p>
    <w:p w:rsidR="008C54F9" w:rsidRPr="004139EF" w:rsidRDefault="008C54F9" w:rsidP="003F1425">
      <w:pPr>
        <w:pStyle w:val="21"/>
        <w:jc w:val="center"/>
      </w:pP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24"/>
        <w:gridCol w:w="4155"/>
        <w:gridCol w:w="1939"/>
        <w:gridCol w:w="436"/>
        <w:gridCol w:w="436"/>
        <w:gridCol w:w="404"/>
        <w:gridCol w:w="2080"/>
      </w:tblGrid>
      <w:tr w:rsidR="00990D3B" w:rsidRPr="00785497" w:rsidTr="004653B7">
        <w:trPr>
          <w:trHeight w:val="20"/>
          <w:jc w:val="center"/>
        </w:trPr>
        <w:tc>
          <w:tcPr>
            <w:tcW w:w="261" w:type="pct"/>
            <w:vMerge w:val="restart"/>
            <w:vAlign w:val="center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</w:rPr>
            </w:pPr>
            <w:r w:rsidRPr="00785497">
              <w:rPr>
                <w:rFonts w:ascii="Times New Roman" w:hAnsi="Times New Roman"/>
                <w:lang w:eastAsia="uk-UA"/>
              </w:rPr>
              <w:t>№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з/п</w:t>
            </w:r>
          </w:p>
        </w:tc>
        <w:tc>
          <w:tcPr>
            <w:tcW w:w="2087" w:type="pct"/>
            <w:vMerge w:val="restart"/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785497">
              <w:rPr>
                <w:rFonts w:ascii="Times New Roman" w:hAnsi="Times New Roman"/>
                <w:bCs/>
                <w:lang w:eastAsia="uk-UA"/>
              </w:rPr>
              <w:t>Питання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щодо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дотримання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суб’єктом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господарювання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вимог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законодавства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України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та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ліцензійних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умов</w:t>
            </w:r>
          </w:p>
        </w:tc>
        <w:tc>
          <w:tcPr>
            <w:tcW w:w="976" w:type="pct"/>
            <w:vMerge w:val="restart"/>
            <w:tcBorders>
              <w:bottom w:val="nil"/>
            </w:tcBorders>
            <w:vAlign w:val="center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785497">
              <w:rPr>
                <w:rFonts w:ascii="Times New Roman" w:eastAsia="Times New Roman" w:hAnsi="Times New Roman"/>
              </w:rPr>
              <w:t>Позиція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суб’єкта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господарювання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щодо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негативного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впливу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вимоги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законодавства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(від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до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балів)*</w:t>
            </w:r>
          </w:p>
        </w:tc>
        <w:tc>
          <w:tcPr>
            <w:tcW w:w="630" w:type="pct"/>
            <w:gridSpan w:val="3"/>
            <w:vAlign w:val="center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</w:rPr>
              <w:t>Відповіді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питання</w:t>
            </w:r>
          </w:p>
        </w:tc>
        <w:tc>
          <w:tcPr>
            <w:tcW w:w="1046" w:type="pct"/>
            <w:vMerge w:val="restart"/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785497">
              <w:rPr>
                <w:rFonts w:ascii="Times New Roman" w:hAnsi="Times New Roman"/>
                <w:bCs/>
                <w:lang w:eastAsia="uk-UA"/>
              </w:rPr>
              <w:t>Нормативне</w:t>
            </w:r>
            <w:r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785497">
              <w:rPr>
                <w:rFonts w:ascii="Times New Roman" w:hAnsi="Times New Roman"/>
                <w:bCs/>
                <w:lang w:eastAsia="uk-UA"/>
              </w:rPr>
              <w:t>обґрунтування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  <w:vMerge/>
            <w:vAlign w:val="center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087" w:type="pct"/>
            <w:vMerge/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976" w:type="pct"/>
            <w:vMerge/>
            <w:tcBorders>
              <w:bottom w:val="nil"/>
            </w:tcBorders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785497">
              <w:rPr>
                <w:rFonts w:ascii="Times New Roman" w:eastAsia="Times New Roman" w:hAnsi="Times New Roman"/>
              </w:rPr>
              <w:t>так</w:t>
            </w:r>
          </w:p>
        </w:tc>
        <w:tc>
          <w:tcPr>
            <w:tcW w:w="222" w:type="pct"/>
            <w:textDirection w:val="btLr"/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785497">
              <w:rPr>
                <w:rFonts w:ascii="Times New Roman" w:eastAsia="Times New Roman" w:hAnsi="Times New Roman"/>
              </w:rPr>
              <w:t>ні</w:t>
            </w:r>
          </w:p>
        </w:tc>
        <w:tc>
          <w:tcPr>
            <w:tcW w:w="186" w:type="pct"/>
            <w:textDirection w:val="btLr"/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785497">
              <w:rPr>
                <w:rFonts w:ascii="Times New Roman" w:eastAsia="Times New Roman" w:hAnsi="Times New Roman"/>
              </w:rPr>
              <w:t>не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Fonts w:ascii="Times New Roman" w:eastAsia="Times New Roman" w:hAnsi="Times New Roman"/>
              </w:rPr>
              <w:t>розглядалося</w:t>
            </w:r>
          </w:p>
        </w:tc>
        <w:tc>
          <w:tcPr>
            <w:tcW w:w="1046" w:type="pct"/>
            <w:vMerge/>
            <w:vAlign w:val="center"/>
          </w:tcPr>
          <w:p w:rsidR="00990D3B" w:rsidRPr="00785497" w:rsidRDefault="00990D3B" w:rsidP="00990D3B">
            <w:pPr>
              <w:keepNext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</w:tr>
      <w:tr w:rsidR="00990D3B" w:rsidRPr="00785497" w:rsidTr="009A56AF">
        <w:trPr>
          <w:trHeight w:val="20"/>
          <w:jc w:val="center"/>
        </w:trPr>
        <w:tc>
          <w:tcPr>
            <w:tcW w:w="5000" w:type="pct"/>
            <w:gridSpan w:val="7"/>
          </w:tcPr>
          <w:p w:rsidR="00990D3B" w:rsidRPr="00931252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</w:rPr>
            </w:pPr>
            <w:r w:rsidRPr="00931252">
              <w:rPr>
                <w:rStyle w:val="rvts9"/>
                <w:rFonts w:ascii="Times New Roman" w:eastAsia="Times New Roman" w:hAnsi="Times New Roman"/>
              </w:rPr>
              <w:t>1</w:t>
            </w:r>
            <w:r w:rsidRPr="00931252">
              <w:rPr>
                <w:rStyle w:val="rvts9"/>
                <w:rFonts w:eastAsia="Times New Roman"/>
              </w:rPr>
              <w:t xml:space="preserve">. </w:t>
            </w:r>
            <w:r w:rsidRPr="00931252">
              <w:rPr>
                <w:rStyle w:val="rvts9"/>
                <w:rFonts w:ascii="Times New Roman" w:eastAsia="Times New Roman" w:hAnsi="Times New Roman"/>
              </w:rPr>
              <w:t>Загальні вимоги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pStyle w:val="11"/>
              <w:ind w:left="-28" w:right="-28" w:firstLine="0"/>
              <w:jc w:val="center"/>
              <w:rPr>
                <w:spacing w:val="-4"/>
                <w:sz w:val="22"/>
                <w:szCs w:val="22"/>
                <w:lang w:eastAsia="ru-RU"/>
              </w:rPr>
            </w:pPr>
            <w:r w:rsidRPr="00785497">
              <w:rPr>
                <w:sz w:val="22"/>
                <w:szCs w:val="22"/>
                <w:lang w:eastAsia="ru-RU"/>
              </w:rPr>
              <w:t>Присутність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керівника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ліцензіата,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його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заступника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або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іншої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уповноваженої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особи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під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час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проведення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НКРЕКП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установленому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законом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порядку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перевірки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дотримання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ліцензіатом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вимог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ліцензійних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умов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85497">
              <w:rPr>
                <w:sz w:val="22"/>
                <w:szCs w:val="22"/>
                <w:lang w:eastAsia="ru-RU"/>
              </w:rPr>
              <w:t>забезпечено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</w:rPr>
            </w:pPr>
            <w:r w:rsidRPr="00785497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частини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третьої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статті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46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Закону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України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«Про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ринок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електричної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енергії»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(далі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–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bCs/>
              </w:rPr>
              <w:t>ЗУ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5497">
              <w:rPr>
                <w:rFonts w:ascii="Times New Roman" w:hAnsi="Times New Roman"/>
                <w:bCs/>
              </w:rPr>
              <w:t>2019-VIII)</w:t>
            </w:r>
            <w:r w:rsidRPr="00785497">
              <w:rPr>
                <w:rFonts w:ascii="Times New Roman" w:hAnsi="Times New Roman"/>
                <w:lang w:eastAsia="ru-RU"/>
              </w:rPr>
              <w:t>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CE5D8E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eastAsia="Times New Roman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Ліцензійних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умов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провадження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діяльності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розподілу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затверджених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CE5D8E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липня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932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932);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підпункт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пункту</w:t>
            </w:r>
            <w:r w:rsidR="00CE5D8E">
              <w:rPr>
                <w:rFonts w:ascii="Times New Roman" w:hAnsi="Times New Roman"/>
                <w:lang w:eastAsia="ru-RU"/>
              </w:rPr>
              <w:t> </w:t>
            </w:r>
            <w:r w:rsidRPr="00785497">
              <w:rPr>
                <w:rFonts w:ascii="Times New Roman" w:hAnsi="Times New Roman"/>
                <w:lang w:eastAsia="ru-RU"/>
              </w:rPr>
              <w:t>2.2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Ліцензійних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умов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провадження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діяльності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розподілу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електричної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енергії,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затверджених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постановою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lastRenderedPageBreak/>
              <w:t>Національної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комісії,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здійснює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державне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регулювання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сферах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енергетики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комунальних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послуг</w:t>
            </w:r>
            <w:r w:rsidR="00CE5D8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від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27</w:t>
            </w:r>
            <w:r w:rsidR="00CE5D8E">
              <w:rPr>
                <w:rFonts w:ascii="Times New Roman" w:hAnsi="Times New Roman"/>
                <w:lang w:eastAsia="ru-RU"/>
              </w:rPr>
              <w:t> </w:t>
            </w:r>
            <w:r w:rsidRPr="00785497">
              <w:rPr>
                <w:rFonts w:ascii="Times New Roman" w:hAnsi="Times New Roman"/>
                <w:lang w:eastAsia="ru-RU"/>
              </w:rPr>
              <w:t>грудня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2017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року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(далі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1470)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hAnsi="Times New Roman"/>
                <w:lang w:eastAsia="ru-RU"/>
              </w:rPr>
              <w:t>Фактичні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дані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ліцензіата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відповідають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даним,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які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були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зазначені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ним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документах,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додавалися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заяви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отримання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відомостям,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зазначеним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Єдиному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державному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реєстрі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юридичних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осіб,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фізичних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осіб-підприємців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громадських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формувань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частини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третьої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статті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46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2019-VIII;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пункти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1.4,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пункти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1.4,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Ліцензіат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зберігає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протягом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документи,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копії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яких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подавалися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НКРЕКП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відповідно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вимог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законодавства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України</w:t>
            </w:r>
            <w:r w:rsidR="00CE5D8E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передає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ліцензію,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отриману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для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провадження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певного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виду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діяльності,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або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будь-які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права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обов’язки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ліцензіата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відповідно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такої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третім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особам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пункт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частини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третьої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статті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46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2019-VIII;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CE5D8E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52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hAnsi="Times New Roman"/>
                <w:lang w:eastAsia="ru-RU"/>
              </w:rPr>
              <w:t>Ліцензіат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повідомляє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НКРЕКП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всі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зміни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даних,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які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були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зазначені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документах,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додавалися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заяви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отримання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ліцензії,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строк,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встановлений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ліцензійними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умовами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CE5D8E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CE5D8E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CE5D8E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Документи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(їх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копії),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(дані,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відомості,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звітність),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необхідні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своїх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повноважень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функцій,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надаються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обсягах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строки,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990D3B" w:rsidRPr="00614C8B" w:rsidRDefault="00614C8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614C8B">
              <w:rPr>
                <w:rStyle w:val="st910"/>
                <w:rFonts w:ascii="Times New Roman" w:hAnsi="Times New Roman"/>
                <w:color w:val="auto"/>
              </w:rPr>
              <w:t>підпункт 1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частини четвертої статті 6 ЗУ № 2019-VIII;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пункти 3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і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4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частини другої статті 17 Закону України «Про Національну комісію, що здійснює державне регулювання у сферах енергетики та комунальних послуг» (далі - ЗУ № 1540-VIII);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підпункти 7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,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20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пункту 2.3,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підпункт 3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пункту 2.5 ЛУ № 932;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підпункти 7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,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49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,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50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пункту 2.2 ЛУ № 1470, постанова НКРЕКП від 12 червня 2018 року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 xml:space="preserve">№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lastRenderedPageBreak/>
              <w:t>374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«Про затвердження форм звітності щодо показників якості електропостачання та інструкцій щодо їх заповнення» (далі - постанова НКРЕКП від 12.06.2018 № 374), постанова НКРЕКП «Про затвердження форм звітності НКРЕКП для учасників ринку електричної енергії та інструкцій щодо їх заповнення» від 28 лютого 2019 року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№ 282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, постанова НКРЕКП «Про затвердження форм звітності з моніторингу для учасників ринку електричної енергії та інструкцій щодо їх заповнення» від 29 березня 2019 року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№ 450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, постанова НКРЕКП «Про подання фінансової звітності суб’єктами господарювання у сферах енергетики та комунальних послуг до Національної комісії, що здійснює державне регулювання у сферах енергетики та комунальних послуг» від 17 лютого 2021 року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№ 254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lastRenderedPageBreak/>
              <w:t>1.6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hAnsi="Times New Roman"/>
                <w:lang w:eastAsia="ru-RU"/>
              </w:rPr>
              <w:t>Ліцензіат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виконує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рішення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НКРЕКП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строки,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встановлені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відповідними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рішеннями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законодавством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1046" w:type="pct"/>
          </w:tcPr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785497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1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46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785497">
              <w:rPr>
                <w:rFonts w:ascii="Times New Roman" w:hAnsi="Times New Roman"/>
                <w:spacing w:val="-4"/>
                <w:lang w:eastAsia="ru-RU"/>
              </w:rPr>
              <w:t>ЗУ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№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2019-VIII;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785497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5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CE5D8E">
              <w:rPr>
                <w:rFonts w:ascii="Times New Roman" w:hAnsi="Times New Roman"/>
                <w:spacing w:val="-4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4"/>
                <w:lang w:eastAsia="ru-RU"/>
              </w:rPr>
              <w:t>2.3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CE5D8E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CE5D8E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lastRenderedPageBreak/>
              <w:t>1.7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hAnsi="Times New Roman"/>
                <w:lang w:eastAsia="ru-RU"/>
              </w:rPr>
              <w:t>Внески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регулювання,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визначені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рішенням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НКРЕКП,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сплачуються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своєчасно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та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повному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обсязі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B71A34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ЗУ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1540-VIII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забезпечено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власного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вебсайту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мережі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Інтернет,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якому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розміщено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актуальну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підлягає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оприлюдненню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вимог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чинного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України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ліцензійних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умов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990D3B" w:rsidRPr="00785497" w:rsidRDefault="00990D3B" w:rsidP="00931252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Закону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України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«Про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бухгалтерський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облік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та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фінансову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звітність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в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Україні»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;</w:t>
            </w:r>
          </w:p>
          <w:p w:rsidR="00B71A34" w:rsidRDefault="00990D3B" w:rsidP="00B71A3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3125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стаття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Закону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України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«Про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природні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монополії»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B71A34" w:rsidRDefault="00990D3B" w:rsidP="00B71A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8,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2.3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3125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ЛУ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932;</w:t>
            </w:r>
          </w:p>
          <w:p w:rsidR="00B71A34" w:rsidRDefault="00990D3B" w:rsidP="00B71A34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8,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22,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50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2.2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3125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ЛУ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урегульовує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спори,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виникають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між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ліцензіатом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учасниками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згідно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правилами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врегулювання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спорів,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виникають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між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провадять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діяльність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сферах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енергетики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комунальних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затвердженими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51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9A56AF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990D3B" w:rsidRPr="00931252" w:rsidRDefault="00990D3B" w:rsidP="00990D3B">
            <w:pPr>
              <w:pStyle w:val="12"/>
              <w:spacing w:after="0" w:line="240" w:lineRule="auto"/>
              <w:ind w:left="360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31252">
              <w:rPr>
                <w:rStyle w:val="rvts9"/>
                <w:rFonts w:ascii="Times New Roman" w:eastAsia="Times New Roman" w:hAnsi="Times New Roman"/>
              </w:rPr>
              <w:t>2</w:t>
            </w:r>
            <w:r w:rsidRPr="00931252">
              <w:rPr>
                <w:rStyle w:val="rvts9"/>
                <w:rFonts w:eastAsia="Times New Roman"/>
              </w:rPr>
              <w:t xml:space="preserve">. </w:t>
            </w:r>
            <w:r w:rsidRPr="00931252">
              <w:rPr>
                <w:rStyle w:val="rvts9"/>
                <w:rFonts w:ascii="Times New Roman" w:eastAsia="Times New Roman" w:hAnsi="Times New Roman"/>
              </w:rPr>
              <w:t>Кадрові вимоги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2.1</w:t>
            </w:r>
          </w:p>
        </w:tc>
        <w:tc>
          <w:tcPr>
            <w:tcW w:w="2087" w:type="pct"/>
          </w:tcPr>
          <w:p w:rsidR="00990D3B" w:rsidRPr="00785497" w:rsidRDefault="00990D3B" w:rsidP="006C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При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провадженні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ліцензованої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діяльності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дотримується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кадрових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зокрема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оформлення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трудових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відносин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персоналом</w:t>
            </w:r>
            <w:r w:rsidR="006C5E6C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, який задіяний для виконання функцій ліцензованої діяльності,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шляхом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укладення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трудових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договорів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положень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hyperlink r:id="rId7" w:tgtFrame="_blank" w:history="1"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Кодексу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законів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про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працю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України</w:t>
              </w:r>
            </w:hyperlink>
            <w:r w:rsidRPr="00785497">
              <w:rPr>
                <w:rStyle w:val="rvts0"/>
                <w:rFonts w:ascii="Times New Roman" w:eastAsia="Times New Roman" w:hAnsi="Times New Roman"/>
              </w:rPr>
              <w:t>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шляхом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залучення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осіб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окремих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робіт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(послуг)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інших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підставах,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заборонених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чинним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законодавством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України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932;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9A56AF">
        <w:trPr>
          <w:trHeight w:val="172"/>
          <w:jc w:val="center"/>
        </w:trPr>
        <w:tc>
          <w:tcPr>
            <w:tcW w:w="5000" w:type="pct"/>
            <w:gridSpan w:val="7"/>
            <w:vAlign w:val="center"/>
          </w:tcPr>
          <w:p w:rsidR="00990D3B" w:rsidRPr="00931252" w:rsidRDefault="00990D3B" w:rsidP="00990D3B">
            <w:pPr>
              <w:pStyle w:val="12"/>
              <w:spacing w:after="0" w:line="240" w:lineRule="auto"/>
              <w:ind w:left="360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31252">
              <w:rPr>
                <w:rFonts w:ascii="Times New Roman" w:hAnsi="Times New Roman"/>
                <w:spacing w:val="-2"/>
                <w:lang w:eastAsia="ru-RU"/>
              </w:rPr>
              <w:t>3. Організаційні вимоги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hAnsi="Times New Roman"/>
                <w:lang w:eastAsia="ru-RU"/>
              </w:rPr>
              <w:t>Ліцензіат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провадить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ліцензовану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діяльність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виключно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використанням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засобів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провадження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lastRenderedPageBreak/>
              <w:t>діяльності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або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виключно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використанням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засобів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провадження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діяльності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межах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місць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провадження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господарської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діяльності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ліцензіата,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які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зазначені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документах,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що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додавалися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заяви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про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отримання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ліцензії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(з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урахуванням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змін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них,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поданих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ліцензіатом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до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НКРЕКП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згідно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вимогами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71A34">
              <w:rPr>
                <w:rFonts w:ascii="Times New Roman" w:hAnsi="Times New Roman"/>
                <w:lang w:eastAsia="ru-RU"/>
              </w:rPr>
              <w:t>л</w:t>
            </w:r>
            <w:r w:rsidRPr="00785497">
              <w:rPr>
                <w:rFonts w:ascii="Times New Roman" w:hAnsi="Times New Roman"/>
                <w:lang w:eastAsia="ru-RU"/>
              </w:rPr>
              <w:t>іцензійних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умов)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B71A34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lastRenderedPageBreak/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pStyle w:val="12"/>
              <w:spacing w:after="0" w:line="240" w:lineRule="auto"/>
              <w:ind w:left="0" w:right="-57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3.2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укладає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договори,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які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обов’язковими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ринку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енергії,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виконує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умови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таких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договорів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B71A34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3.3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використовує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кошти,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отримані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рахунок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діяльності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цільовим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призначенням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дотриманням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принципів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закупівель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hyperlink r:id="rId8" w:tgtFrame="_blank" w:history="1"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Закону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України</w:t>
              </w:r>
            </w:hyperlink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«Про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публічні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закупівлі»,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здійснює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ліцензовану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принципом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доцільності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досягнення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найнижчої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вартості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послуг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розподілу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Закон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України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«Про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публічні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закупівлі»;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14,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15,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3.4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письмово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повідомляє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відповідним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обґрунтуванням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намір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вчинення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відношенню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засобів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провадження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господарської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діяльності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дій,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продаж,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передача,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переуступка,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дарування,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оренду,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кредит,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іпотеку,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поручительство,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збереження,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обмеження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припинення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використання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тощо,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призведуть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неспроможності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виконувати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обов’язки,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ліцензійними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умовами,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вартість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заміщення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(відтворення)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засобу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урахуванням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фізичного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зносу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коефіцієнта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оптимізації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становитиме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понад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1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(один)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млн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грн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3.5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забезпечує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функціонування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центрів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обслуговування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споживачів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кол-центру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згідно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вимогами,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lastRenderedPageBreak/>
              <w:t>встановленими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нормативно-правовими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актами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lastRenderedPageBreak/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3.6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учасникам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інформацію,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необхідну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обсягах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порядку,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правилами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кодексом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передачі,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кодексом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кодексом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іншими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нормативно-правовими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актами,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регулюють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функціонування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Правила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ринку,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затверджені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14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2018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307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ПРЕЕ);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Кодекс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системи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передачі,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14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2018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309;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Кодекс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комерційного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обліку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14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2018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311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ККО);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Кодекс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систем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розподілу,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затверджений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lastRenderedPageBreak/>
              <w:t>14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310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(далі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–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КСР);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3.7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забезпечує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конфіденційність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отриманої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учасників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використовується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ним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своїх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становить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таємницю,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законодавства,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своєї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діяльності,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розкриття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може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надавати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переваги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учасникам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3.8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дотримується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захисту,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розкриття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оприлюднення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hyperlink r:id="rId9" w:tgtFrame="_blank" w:history="1"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Законом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України</w:t>
              </w:r>
            </w:hyperlink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«Про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ринок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іншими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нормативно-правовими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актами,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документами,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регулюють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функціонування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ПРЕЕ;</w:t>
            </w:r>
          </w:p>
          <w:p w:rsidR="00B71A34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B71A34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3.9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разі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придбання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ліцензіатом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товарів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інтегрованого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він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входить,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чи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входять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афілійованими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інтегрованого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ліцензіатом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товарів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інтегрованому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він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входить,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чи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суб’єктам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входять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афілійованими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інтегрованого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спільного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використання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товарів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ліцензіатом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інтегрованим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він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входить,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чи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входять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афілійованими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інтегрованого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суб’єкта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таке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придбання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використання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здійснюється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підставі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договорів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дотриманням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lastRenderedPageBreak/>
              <w:t>передбачених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hyperlink r:id="rId10" w:anchor="n958" w:tgtFrame="_blank" w:history="1"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статтею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47</w:t>
              </w:r>
            </w:hyperlink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Закону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України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«Про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ринок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енергії»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та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стаття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47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3.10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  <w:spacing w:val="-4"/>
              </w:rPr>
            </w:pP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доступ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умов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договорів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(у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тому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числі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щодо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цін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(вартості)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товарів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і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послуг)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придбання/надання/спільне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використання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товарів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і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послуг,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які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укладаються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між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ліцензіатом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інтегрованим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суб’єктом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якого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він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входить,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чи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з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суб’єктами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господарювання,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входять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складу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або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є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афілійованими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такого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вертикально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інтегрованого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суб’єкта</w:t>
            </w:r>
            <w:r>
              <w:rPr>
                <w:rStyle w:val="rvts0"/>
                <w:rFonts w:ascii="Times New Roman" w:eastAsia="Times New Roman" w:hAnsi="Times New Roman"/>
                <w:spacing w:val="-4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  <w:spacing w:val="-4"/>
              </w:rPr>
              <w:t>господарювання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3.11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доступ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своїх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мереж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недискримінаційній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прозорій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основі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тарифами,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встановленими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3.12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повідомлення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договірні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обсяги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купівлі-продажу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метою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компенсації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технологічних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витрат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двосторонніми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договорами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порядку,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правилами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ПРЕЕ;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3.13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складає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добові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графіки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метою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компенсації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технологічних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витрат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мережами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добу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постачання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оператору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передачі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правил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ПРЕЕ;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3.14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застосуванні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процедур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зміни/заміни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електропостачальника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новому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електропостачальнику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споживачів,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приєднаних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його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яким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здійснював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продаж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попередній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електропостачальник,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обсягах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порядку,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3.15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зберігає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всі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відомості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укладені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двосторонні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договори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договори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купівлі-продажу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організованих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сегментах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протягом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п’яти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років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3.16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припиняє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відновлює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електроживлення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споживача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порядку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випадках,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кодексом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правилами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роздрібного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КСР;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Правила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роздрібного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ринку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електричної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затверджені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постановою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що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від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14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березня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2018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року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312;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br/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3.17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передбачив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плануванні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розвитку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необхідність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будівництва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реконструкції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заходів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енергоефективності,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управління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попитом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розвитку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розподіленої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генерації.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Плани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розвитку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містять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обсяги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фінансування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враховують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плани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схеми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планування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територій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державному,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регіональному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місцевому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рівнях,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екологічні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стандарти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нормативи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40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3.18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зареєструвався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адміністратора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постачальник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3.19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зберігає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інформацію,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необхідну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аналізу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включаючи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надійності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електропостачання,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порядку,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встановленому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6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1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46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6"/>
                <w:lang w:eastAsia="ru-RU"/>
              </w:rPr>
              <w:t>ЗУ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№</w:t>
            </w:r>
            <w:r>
              <w:rPr>
                <w:rFonts w:ascii="Times New Roman" w:hAnsi="Times New Roman"/>
                <w:spacing w:val="-6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6"/>
                <w:lang w:eastAsia="ru-RU"/>
              </w:rPr>
              <w:t>2019-VIII;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3.20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дотримується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показників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характеризують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рівень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надійності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(безперервності)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електропостачання,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якість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перелік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величини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затверджено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990D3B" w:rsidRPr="00614C8B" w:rsidRDefault="00614C8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/>
                <w:spacing w:val="-2"/>
                <w:lang w:eastAsia="ru-RU"/>
              </w:rPr>
            </w:pPr>
            <w:r w:rsidRPr="00614C8B">
              <w:rPr>
                <w:rStyle w:val="st910"/>
                <w:rFonts w:ascii="Times New Roman" w:hAnsi="Times New Roman"/>
                <w:color w:val="auto"/>
              </w:rPr>
              <w:t>пункт 1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частини третьої статті 46 ЗУ № 2019-VIII;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підпункт 21 пункту 2.3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ЛУ № 932; </w:t>
            </w:r>
            <w:r w:rsidRPr="00614C8B">
              <w:rPr>
                <w:rStyle w:val="st910"/>
                <w:rFonts w:ascii="Times New Roman" w:hAnsi="Times New Roman"/>
                <w:color w:val="auto"/>
              </w:rPr>
              <w:t>підпункт 23 пункту 2.2</w:t>
            </w:r>
            <w:r w:rsidRPr="00614C8B">
              <w:rPr>
                <w:rStyle w:val="st42"/>
                <w:rFonts w:ascii="Times New Roman" w:hAnsi="Times New Roman"/>
                <w:color w:val="auto"/>
              </w:rPr>
              <w:t xml:space="preserve"> ЛУ № 1470, постанова НКРЕКП від 12.06.2018 № 374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3.21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здійснює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компенсацію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відшкодування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збитків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користувачу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та/або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споживачу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разі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недотримання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ліцензіатом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показників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договором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3.22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приєднання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електроустановки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замовника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урахуванням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положень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hyperlink r:id="rId11" w:anchor="n499" w:tgtFrame="_blank" w:history="1"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статті</w:t>
              </w:r>
              <w:r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21</w:t>
              </w:r>
            </w:hyperlink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Закону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України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«Про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ринок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умови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замовником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кодексу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розподілу.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Розрахову</w:t>
            </w:r>
            <w:r w:rsidR="00DF6E21">
              <w:rPr>
                <w:rStyle w:val="rvts0"/>
                <w:rFonts w:ascii="Times New Roman" w:eastAsia="Times New Roman" w:hAnsi="Times New Roman"/>
              </w:rPr>
              <w:t>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плату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приєднання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мереж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оператора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підставі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методики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(порядку)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формування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приєднання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передачі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затвердженої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932;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КСР;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3.23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забезпечує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безоплатну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видачу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технічних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умов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приєднання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зверненням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замовника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3.24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щороку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01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лютого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розширений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звіт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результатами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приєднання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електроустановок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замовників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мереж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упродовж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попереднього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календарного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методики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(порядку)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формування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приєднання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передачі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3.25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дотримується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напрямів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обсягів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використання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коштів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статтями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витрат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встановленої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рішенням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НКРЕКП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структури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тарифу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розподіл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DF6E21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 w:rsidR="00DF6E21">
              <w:rPr>
                <w:rFonts w:ascii="Times New Roman" w:hAnsi="Times New Roman"/>
                <w:spacing w:val="-2"/>
                <w:lang w:eastAsia="ru-RU"/>
              </w:rPr>
              <w:t> 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3.26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купує/продає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небаланси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цінами,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правил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разі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невиконання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ним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акцептованих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оператором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передачі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погодинних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графіків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метою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lastRenderedPageBreak/>
              <w:t>компенсації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технологічних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витрат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мережами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3.27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здійснює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діяльність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купівлі-продажу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виключно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компенсації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технологічних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витрат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мережами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врегулювання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небалансів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3.28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розробив,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погодив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впровадив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оприлюднив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програму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відповідності,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особу,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претендує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посаду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уповноваженої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особи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питань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відповідності,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пропозиції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умов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трудового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договору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призначив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погодженням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уповноважену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особу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питань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нормативно-правових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актів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3.29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щорічний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звіт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програми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відповідності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3.30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розробив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подав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затвердження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плани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розвитку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наступні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п’ять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урахуванням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розвитку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передачі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наступні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десять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років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нормативно-правових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актів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3.31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розробив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інвестиційну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програму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урахуванням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плану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розвитку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подав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разом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розрахунком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тарифу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інвестиційну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програму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повному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обсязі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запланованих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етапів,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обсягів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робіт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обсягів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фінансування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згідно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="00B86BA0">
              <w:rPr>
                <w:rStyle w:val="rvts0"/>
                <w:rFonts w:ascii="Times New Roman" w:eastAsia="Times New Roman" w:hAnsi="Times New Roman"/>
              </w:rPr>
              <w:t>з</w:t>
            </w:r>
            <w:r w:rsidR="00B86BA0">
              <w:rPr>
                <w:rStyle w:val="rvts0"/>
                <w:rFonts w:eastAsia="Times New Roman"/>
              </w:rPr>
              <w:t>і</w:t>
            </w:r>
            <w:r w:rsidR="00B86BA0"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схваленою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інвестиційною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програмою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3.32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заходи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ремонтної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програми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ремонтів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основних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фондів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повному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обсязі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обсягів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фінансування,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передбачених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статтею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структури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тарифу,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тому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числі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ремонти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усунення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аварійних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відключень,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приписів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lastRenderedPageBreak/>
              <w:t>контролюючих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органів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обґрунтованих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скарг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споживачів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9A56AF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990D3B" w:rsidRPr="00931252" w:rsidRDefault="00990D3B" w:rsidP="00990D3B">
            <w:pPr>
              <w:pStyle w:val="12"/>
              <w:spacing w:after="0" w:line="240" w:lineRule="auto"/>
              <w:ind w:left="360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31252">
              <w:rPr>
                <w:rStyle w:val="rvts9"/>
                <w:rFonts w:ascii="Times New Roman" w:eastAsia="Times New Roman" w:hAnsi="Times New Roman"/>
              </w:rPr>
              <w:lastRenderedPageBreak/>
              <w:t>4</w:t>
            </w:r>
            <w:r w:rsidRPr="00931252">
              <w:rPr>
                <w:rStyle w:val="rvts9"/>
                <w:rFonts w:eastAsia="Times New Roman"/>
              </w:rPr>
              <w:t xml:space="preserve">. </w:t>
            </w:r>
            <w:r w:rsidRPr="00931252">
              <w:rPr>
                <w:rStyle w:val="rvts9"/>
                <w:rFonts w:ascii="Times New Roman" w:eastAsia="Times New Roman" w:hAnsi="Times New Roman"/>
              </w:rPr>
              <w:t>Технологічні вимоги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4.1</w:t>
            </w:r>
          </w:p>
        </w:tc>
        <w:tc>
          <w:tcPr>
            <w:tcW w:w="2087" w:type="pct"/>
          </w:tcPr>
          <w:p w:rsidR="00990D3B" w:rsidRPr="00785497" w:rsidRDefault="00990D3B" w:rsidP="00931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інформаційну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безпеку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кібербезпеку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засобів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інформації,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що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використовується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під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дотримується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заходів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запобігання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загрози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безпеці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критичної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інфраструктури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реалізації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захисту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об’єктів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критичної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інфраструктури,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передбачених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законодавством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19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2.3,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48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4.2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відмовляє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учасникам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наданні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послуг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території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своєї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ліцензованої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діяльності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4.3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забезпечує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безперешкодний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доступ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засобів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також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даних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порядку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межах,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визначених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кодексом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4.4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дотримується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стандартів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операційної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безпеки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своєчасно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ефективно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здійснює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обмін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інформацією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функціонування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мереж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згідно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="00B86BA0">
              <w:rPr>
                <w:rStyle w:val="rvts0"/>
                <w:rFonts w:ascii="Times New Roman" w:eastAsia="Times New Roman" w:hAnsi="Times New Roman"/>
              </w:rPr>
              <w:t>з</w:t>
            </w:r>
            <w:r w:rsidR="00B86BA0">
              <w:rPr>
                <w:rStyle w:val="rvts0"/>
                <w:rFonts w:eastAsia="Times New Roman"/>
              </w:rPr>
              <w:t>і</w:t>
            </w:r>
            <w:r w:rsidR="00B86BA0"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стандартами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операційної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безпеки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 w:rsidRPr="00390568">
              <w:rPr>
                <w:rFonts w:ascii="Times New Roman" w:hAnsi="Times New Roman"/>
                <w:spacing w:val="-2"/>
                <w:lang w:val="ru-RU"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4.5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забезпечує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здійснює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комерційний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обмін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даними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відповідно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правил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кодексу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комерційного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обліку,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інших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нормативно-правових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актів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нормативних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документів,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регулюють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функціонування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ринку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електричної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енергії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ПРЕЕ;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ККО;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2.3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9A56AF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990D3B" w:rsidRPr="00931252" w:rsidRDefault="00990D3B" w:rsidP="00990D3B">
            <w:pPr>
              <w:pStyle w:val="12"/>
              <w:spacing w:after="0" w:line="240" w:lineRule="auto"/>
              <w:ind w:left="360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31252">
              <w:rPr>
                <w:rStyle w:val="rvts9"/>
                <w:rFonts w:ascii="Times New Roman" w:eastAsia="Times New Roman" w:hAnsi="Times New Roman"/>
              </w:rPr>
              <w:t>5</w:t>
            </w:r>
            <w:r w:rsidRPr="00931252">
              <w:rPr>
                <w:rStyle w:val="rvts9"/>
                <w:rFonts w:eastAsia="Times New Roman"/>
              </w:rPr>
              <w:t xml:space="preserve">. </w:t>
            </w:r>
            <w:r w:rsidRPr="00931252">
              <w:rPr>
                <w:rStyle w:val="rvts9"/>
                <w:rFonts w:ascii="Times New Roman" w:eastAsia="Times New Roman" w:hAnsi="Times New Roman"/>
              </w:rPr>
              <w:t>Спеціальні вимоги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5.1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спеціальні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обов’язки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для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забезпечення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загальносуспільного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інтересу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випадку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їх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покладення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Кабінетом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Міністрів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України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Style w:val="af"/>
                <w:rFonts w:ascii="Times New Roman" w:eastAsia="Times New Roman" w:hAnsi="Times New Roman"/>
                <w:color w:val="auto"/>
                <w:u w:val="none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Style w:val="af"/>
                <w:rFonts w:ascii="Times New Roman" w:eastAsia="Times New Roman" w:hAnsi="Times New Roman"/>
                <w:color w:val="auto"/>
                <w:u w:val="none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Style w:val="af"/>
                <w:rFonts w:ascii="Times New Roman" w:eastAsia="Times New Roman" w:hAnsi="Times New Roman"/>
                <w:color w:val="auto"/>
                <w:u w:val="none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Style w:val="af"/>
                <w:rFonts w:ascii="Times New Roman" w:eastAsia="Times New Roman" w:hAnsi="Times New Roman"/>
                <w:color w:val="auto"/>
                <w:u w:val="none"/>
              </w:rPr>
            </w:pPr>
          </w:p>
        </w:tc>
        <w:tc>
          <w:tcPr>
            <w:tcW w:w="1046" w:type="pct"/>
          </w:tcPr>
          <w:p w:rsidR="00B86BA0" w:rsidRDefault="005C13E6" w:rsidP="00990D3B">
            <w:pPr>
              <w:spacing w:after="0" w:line="240" w:lineRule="auto"/>
              <w:ind w:left="-28" w:right="-28"/>
              <w:jc w:val="center"/>
              <w:rPr>
                <w:rStyle w:val="rvts0"/>
                <w:rFonts w:ascii="Times New Roman" w:eastAsia="Times New Roman" w:hAnsi="Times New Roman"/>
              </w:rPr>
            </w:pPr>
            <w:hyperlink r:id="rId12" w:anchor="n1228" w:tgtFrame="_blank" w:history="1">
              <w:r w:rsidR="00990D3B"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стаття</w:t>
              </w:r>
              <w:r w:rsidR="00990D3B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 xml:space="preserve"> </w:t>
              </w:r>
              <w:r w:rsidR="00990D3B" w:rsidRPr="00785497">
                <w:rPr>
                  <w:rStyle w:val="af"/>
                  <w:rFonts w:ascii="Times New Roman" w:eastAsia="Times New Roman" w:hAnsi="Times New Roman"/>
                  <w:color w:val="auto"/>
                  <w:u w:val="none"/>
                </w:rPr>
                <w:t>62</w:t>
              </w:r>
            </w:hyperlink>
            <w:r w:rsidR="00990D3B">
              <w:rPr>
                <w:rStyle w:val="rvts0"/>
                <w:rFonts w:ascii="Times New Roman" w:eastAsia="Times New Roman" w:hAnsi="Times New Roman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lastRenderedPageBreak/>
              <w:t>5.2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Style w:val="rvts0"/>
                <w:rFonts w:ascii="Times New Roman" w:eastAsia="Times New Roman" w:hAnsi="Times New Roman"/>
              </w:rPr>
              <w:t>Ліцензіат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забезпечує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виконання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дотримання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відокремлення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незалежність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оператора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та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повідомляє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НКРЕКП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будь-які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заплановані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заходи,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які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можуть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призвести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порушення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вимог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щодо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відокремлення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незалежності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оператора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системи</w:t>
            </w:r>
            <w:r>
              <w:rPr>
                <w:rStyle w:val="rvts0"/>
                <w:rFonts w:ascii="Times New Roman" w:eastAsia="Times New Roman" w:hAnsi="Times New Roman"/>
              </w:rPr>
              <w:t xml:space="preserve"> </w:t>
            </w:r>
            <w:r w:rsidRPr="00785497">
              <w:rPr>
                <w:rStyle w:val="rvts0"/>
                <w:rFonts w:ascii="Times New Roman" w:eastAsia="Times New Roman" w:hAnsi="Times New Roman"/>
              </w:rPr>
              <w:t>розподілу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стаття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47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90D3B" w:rsidRPr="00785497" w:rsidTr="004653B7">
        <w:trPr>
          <w:trHeight w:val="20"/>
          <w:jc w:val="center"/>
        </w:trPr>
        <w:tc>
          <w:tcPr>
            <w:tcW w:w="261" w:type="pct"/>
          </w:tcPr>
          <w:p w:rsidR="00990D3B" w:rsidRPr="00785497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785497">
              <w:rPr>
                <w:rFonts w:ascii="Times New Roman" w:hAnsi="Times New Roman"/>
                <w:spacing w:val="-8"/>
                <w:lang w:eastAsia="ru-RU"/>
              </w:rPr>
              <w:t>5.3</w:t>
            </w:r>
          </w:p>
        </w:tc>
        <w:tc>
          <w:tcPr>
            <w:tcW w:w="2087" w:type="pct"/>
          </w:tcPr>
          <w:p w:rsidR="00990D3B" w:rsidRPr="00785497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85497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допускає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перехресного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eastAsia="Times New Roman" w:hAnsi="Times New Roman"/>
                <w:lang w:eastAsia="ru-RU"/>
              </w:rPr>
              <w:t>субсидіювання</w:t>
            </w:r>
          </w:p>
        </w:tc>
        <w:tc>
          <w:tcPr>
            <w:tcW w:w="97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222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86" w:type="pct"/>
          </w:tcPr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частини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третьої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статті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46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ЗУ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№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2019-VIII;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1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2.5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932;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підпункт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пункту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spacing w:val="-2"/>
                <w:lang w:eastAsia="ru-RU"/>
              </w:rPr>
              <w:t>2.4</w:t>
            </w:r>
            <w:r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</w:p>
          <w:p w:rsidR="00990D3B" w:rsidRPr="00785497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785497">
              <w:rPr>
                <w:rFonts w:ascii="Times New Roman" w:hAnsi="Times New Roman"/>
                <w:spacing w:val="-2"/>
                <w:lang w:eastAsia="ru-RU"/>
              </w:rPr>
              <w:t>ЛУ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785497">
              <w:rPr>
                <w:rFonts w:ascii="Times New Roman" w:hAnsi="Times New Roman"/>
                <w:lang w:eastAsia="ru-RU"/>
              </w:rPr>
              <w:t>1470</w:t>
            </w:r>
          </w:p>
        </w:tc>
      </w:tr>
      <w:tr w:rsidR="009A56AF" w:rsidRPr="009A56AF" w:rsidTr="004653B7">
        <w:trPr>
          <w:trHeight w:val="20"/>
          <w:jc w:val="center"/>
        </w:trPr>
        <w:tc>
          <w:tcPr>
            <w:tcW w:w="261" w:type="pct"/>
          </w:tcPr>
          <w:p w:rsidR="00990D3B" w:rsidRPr="009A56AF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9A56AF">
              <w:rPr>
                <w:rFonts w:ascii="Times New Roman" w:hAnsi="Times New Roman"/>
                <w:spacing w:val="-8"/>
                <w:lang w:eastAsia="ru-RU"/>
              </w:rPr>
              <w:t>5.4</w:t>
            </w:r>
          </w:p>
        </w:tc>
        <w:tc>
          <w:tcPr>
            <w:tcW w:w="2087" w:type="pct"/>
          </w:tcPr>
          <w:p w:rsidR="00990D3B" w:rsidRPr="009A56AF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56AF">
              <w:rPr>
                <w:rFonts w:ascii="Times New Roman" w:eastAsia="Times New Roman" w:hAnsi="Times New Roman"/>
                <w:lang w:eastAsia="ru-RU"/>
              </w:rPr>
              <w:t>Ліцензіат веде облік витрат і доходів від ліцензованої діяльності окремо від інших видів діяльності</w:t>
            </w:r>
          </w:p>
        </w:tc>
        <w:tc>
          <w:tcPr>
            <w:tcW w:w="976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 xml:space="preserve">пункт 1 частини третьої статті 46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 xml:space="preserve">ЗУ № 2019-VIII; </w:t>
            </w:r>
            <w:r w:rsidRPr="009A56AF">
              <w:rPr>
                <w:rFonts w:ascii="Times New Roman" w:hAnsi="Times New Roman"/>
                <w:lang w:eastAsia="ru-RU"/>
              </w:rPr>
              <w:t xml:space="preserve">підпункт 2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A56AF">
              <w:rPr>
                <w:rFonts w:ascii="Times New Roman" w:hAnsi="Times New Roman"/>
                <w:lang w:eastAsia="ru-RU"/>
              </w:rPr>
              <w:t xml:space="preserve">пункту 2.5 </w:t>
            </w:r>
          </w:p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A56AF">
              <w:rPr>
                <w:rFonts w:ascii="Times New Roman" w:hAnsi="Times New Roman"/>
                <w:lang w:eastAsia="ru-RU"/>
              </w:rPr>
              <w:t>ЛУ № 932;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 xml:space="preserve">підпункт 3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 xml:space="preserve">пункту 2.4 </w:t>
            </w:r>
          </w:p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A56AF">
              <w:rPr>
                <w:rFonts w:ascii="Times New Roman" w:hAnsi="Times New Roman"/>
                <w:lang w:eastAsia="ru-RU"/>
              </w:rPr>
              <w:t xml:space="preserve"> № 1470</w:t>
            </w:r>
          </w:p>
        </w:tc>
      </w:tr>
      <w:tr w:rsidR="009A56AF" w:rsidRPr="009A56AF" w:rsidTr="004653B7">
        <w:trPr>
          <w:trHeight w:val="20"/>
          <w:jc w:val="center"/>
        </w:trPr>
        <w:tc>
          <w:tcPr>
            <w:tcW w:w="261" w:type="pct"/>
          </w:tcPr>
          <w:p w:rsidR="00990D3B" w:rsidRPr="009A56AF" w:rsidRDefault="00990D3B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9A56AF">
              <w:rPr>
                <w:rFonts w:ascii="Times New Roman" w:hAnsi="Times New Roman"/>
                <w:spacing w:val="-8"/>
                <w:lang w:eastAsia="ru-RU"/>
              </w:rPr>
              <w:t>5.5</w:t>
            </w:r>
          </w:p>
        </w:tc>
        <w:tc>
          <w:tcPr>
            <w:tcW w:w="2087" w:type="pct"/>
          </w:tcPr>
          <w:p w:rsidR="00990D3B" w:rsidRPr="009A56AF" w:rsidRDefault="00990D3B" w:rsidP="00990D3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A56AF">
              <w:rPr>
                <w:rFonts w:ascii="Times New Roman" w:eastAsia="Times New Roman" w:hAnsi="Times New Roman"/>
                <w:lang w:eastAsia="ru-RU"/>
              </w:rPr>
              <w:t>Ліцензіат не допускає здійснення над собою контролю у значенні, наведеному у статті 1 Закону України «Про захист економічної конкуренції», резидентами держав, що здійснюють збройну агресію проти України у значенні, наведеному у статті 1 Закону України «Про оборону України», та/або дії яких створюють умови для виникнення воєнного конфлікту та застосування воєнної сили проти України</w:t>
            </w:r>
          </w:p>
        </w:tc>
        <w:tc>
          <w:tcPr>
            <w:tcW w:w="976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56AF">
              <w:rPr>
                <w:rFonts w:ascii="Times New Roman" w:eastAsia="Times New Roman" w:hAnsi="Times New Roman"/>
                <w:lang w:eastAsia="ru-RU"/>
              </w:rPr>
              <w:t xml:space="preserve">пункт 1 частини третьої статті 46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9A56AF">
              <w:rPr>
                <w:rFonts w:ascii="Times New Roman" w:eastAsia="Times New Roman" w:hAnsi="Times New Roman"/>
                <w:lang w:eastAsia="ru-RU"/>
              </w:rPr>
              <w:t xml:space="preserve">ЗУ № 2019-VIII; </w:t>
            </w:r>
            <w:r w:rsidRPr="009A56AF">
              <w:rPr>
                <w:rFonts w:ascii="Times New Roman" w:hAnsi="Times New Roman"/>
                <w:spacing w:val="-4"/>
                <w:lang w:eastAsia="ru-RU"/>
              </w:rPr>
              <w:t xml:space="preserve">підпункт 4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9A56AF">
              <w:rPr>
                <w:rFonts w:ascii="Times New Roman" w:hAnsi="Times New Roman"/>
                <w:spacing w:val="-4"/>
                <w:lang w:eastAsia="ru-RU"/>
              </w:rPr>
              <w:t xml:space="preserve">пункту 2.5 </w:t>
            </w:r>
          </w:p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A56AF">
              <w:rPr>
                <w:rFonts w:ascii="Times New Roman" w:hAnsi="Times New Roman"/>
                <w:lang w:eastAsia="ru-RU"/>
              </w:rPr>
              <w:t xml:space="preserve"> № 932;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 xml:space="preserve">підпункт 5 </w:t>
            </w:r>
          </w:p>
          <w:p w:rsidR="00B86BA0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2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 xml:space="preserve">пункту 2.4 </w:t>
            </w:r>
          </w:p>
          <w:p w:rsidR="00990D3B" w:rsidRPr="009A56AF" w:rsidRDefault="00990D3B" w:rsidP="00990D3B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ru-RU"/>
              </w:rPr>
            </w:pPr>
            <w:r w:rsidRPr="009A56AF">
              <w:rPr>
                <w:rFonts w:ascii="Times New Roman" w:hAnsi="Times New Roman"/>
                <w:spacing w:val="-2"/>
                <w:lang w:eastAsia="ru-RU"/>
              </w:rPr>
              <w:t>ЛУ</w:t>
            </w:r>
            <w:r w:rsidRPr="009A56AF">
              <w:rPr>
                <w:rFonts w:ascii="Times New Roman" w:hAnsi="Times New Roman"/>
                <w:lang w:eastAsia="ru-RU"/>
              </w:rPr>
              <w:t xml:space="preserve"> № 1470</w:t>
            </w:r>
          </w:p>
        </w:tc>
      </w:tr>
      <w:tr w:rsidR="009A56AF" w:rsidRPr="009A56AF" w:rsidTr="004653B7">
        <w:trPr>
          <w:trHeight w:val="20"/>
          <w:jc w:val="center"/>
        </w:trPr>
        <w:tc>
          <w:tcPr>
            <w:tcW w:w="261" w:type="pct"/>
          </w:tcPr>
          <w:p w:rsidR="008E0B7E" w:rsidRPr="009A56AF" w:rsidRDefault="008E0B7E" w:rsidP="00990D3B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pacing w:val="-8"/>
                <w:lang w:eastAsia="ru-RU"/>
              </w:rPr>
            </w:pPr>
            <w:r w:rsidRPr="009A56AF">
              <w:rPr>
                <w:rFonts w:ascii="Times New Roman" w:hAnsi="Times New Roman"/>
                <w:szCs w:val="28"/>
              </w:rPr>
              <w:t>5.6</w:t>
            </w:r>
          </w:p>
        </w:tc>
        <w:tc>
          <w:tcPr>
            <w:tcW w:w="2087" w:type="pct"/>
          </w:tcPr>
          <w:p w:rsidR="008E0B7E" w:rsidRPr="009A56AF" w:rsidRDefault="008E0B7E" w:rsidP="008E0B7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56AF">
              <w:rPr>
                <w:rFonts w:ascii="Times New Roman" w:hAnsi="Times New Roman"/>
                <w:szCs w:val="28"/>
              </w:rPr>
              <w:t>Ліцензіат забезпечує та дотримується правильності розподілу умовних одиниць між класами напруги, що застосовується при розрахунку тарифів на послуги з розподілу електричної енергії</w:t>
            </w:r>
          </w:p>
        </w:tc>
        <w:tc>
          <w:tcPr>
            <w:tcW w:w="976" w:type="pct"/>
          </w:tcPr>
          <w:p w:rsidR="008E0B7E" w:rsidRPr="009A56AF" w:rsidRDefault="008E0B7E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8E0B7E" w:rsidRPr="009A56AF" w:rsidRDefault="008E0B7E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2" w:type="pct"/>
          </w:tcPr>
          <w:p w:rsidR="008E0B7E" w:rsidRPr="009A56AF" w:rsidRDefault="008E0B7E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" w:type="pct"/>
          </w:tcPr>
          <w:p w:rsidR="008E0B7E" w:rsidRPr="009A56AF" w:rsidRDefault="008E0B7E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46" w:type="pct"/>
          </w:tcPr>
          <w:p w:rsidR="008E0B7E" w:rsidRPr="009A56AF" w:rsidRDefault="008E0B7E" w:rsidP="00990D3B">
            <w:pPr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56AF">
              <w:rPr>
                <w:rFonts w:ascii="Times New Roman" w:hAnsi="Times New Roman"/>
                <w:bCs/>
                <w:szCs w:val="28"/>
                <w:lang w:eastAsia="uk-UA"/>
              </w:rPr>
              <w:t xml:space="preserve">пункт 8.2 глави 8 Порядку встановлення (формування) тарифів на послуги з розподілу електричної енергії, затвердженого постановою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Національної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комісії,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що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здійснює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державне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регулювання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у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сферах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енергетики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та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комунальних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 xml:space="preserve"> </w:t>
            </w:r>
            <w:r w:rsidR="00FB37AE" w:rsidRPr="00785497">
              <w:rPr>
                <w:rFonts w:ascii="Times New Roman" w:hAnsi="Times New Roman"/>
                <w:spacing w:val="-2"/>
                <w:lang w:eastAsia="ru-RU"/>
              </w:rPr>
              <w:t>послуг</w:t>
            </w:r>
            <w:r w:rsidR="00FB37AE">
              <w:rPr>
                <w:rFonts w:ascii="Times New Roman" w:hAnsi="Times New Roman"/>
                <w:spacing w:val="-2"/>
                <w:lang w:eastAsia="ru-RU"/>
              </w:rPr>
              <w:t>,</w:t>
            </w:r>
            <w:r w:rsidRPr="009A56AF">
              <w:rPr>
                <w:rFonts w:ascii="Times New Roman" w:hAnsi="Times New Roman"/>
                <w:bCs/>
                <w:szCs w:val="28"/>
                <w:lang w:eastAsia="uk-UA"/>
              </w:rPr>
              <w:t xml:space="preserve"> від </w:t>
            </w:r>
            <w:r w:rsidRPr="009A56AF">
              <w:rPr>
                <w:rFonts w:ascii="Times New Roman" w:hAnsi="Times New Roman"/>
                <w:bCs/>
                <w:szCs w:val="28"/>
                <w:lang w:eastAsia="uk-UA"/>
              </w:rPr>
              <w:lastRenderedPageBreak/>
              <w:t>05</w:t>
            </w:r>
            <w:r w:rsidR="00FB37AE">
              <w:rPr>
                <w:rFonts w:ascii="Times New Roman" w:hAnsi="Times New Roman"/>
                <w:bCs/>
                <w:szCs w:val="28"/>
                <w:lang w:eastAsia="uk-UA"/>
              </w:rPr>
              <w:t xml:space="preserve"> жовтня </w:t>
            </w:r>
            <w:r w:rsidRPr="009A56AF">
              <w:rPr>
                <w:rFonts w:ascii="Times New Roman" w:hAnsi="Times New Roman"/>
                <w:bCs/>
                <w:szCs w:val="28"/>
                <w:lang w:eastAsia="uk-UA"/>
              </w:rPr>
              <w:t>2018</w:t>
            </w:r>
            <w:r w:rsidR="00FB37AE">
              <w:rPr>
                <w:rFonts w:ascii="Times New Roman" w:hAnsi="Times New Roman"/>
                <w:bCs/>
                <w:szCs w:val="28"/>
                <w:lang w:eastAsia="uk-UA"/>
              </w:rPr>
              <w:t> року</w:t>
            </w:r>
            <w:r w:rsidRPr="009A56AF">
              <w:rPr>
                <w:rFonts w:ascii="Times New Roman" w:hAnsi="Times New Roman"/>
                <w:bCs/>
                <w:szCs w:val="28"/>
                <w:lang w:eastAsia="uk-UA"/>
              </w:rPr>
              <w:t xml:space="preserve"> № 1175</w:t>
            </w:r>
          </w:p>
        </w:tc>
      </w:tr>
    </w:tbl>
    <w:p w:rsidR="008C54F9" w:rsidRPr="009A56AF" w:rsidRDefault="008C54F9" w:rsidP="003F1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54F9" w:rsidRDefault="008C54F9" w:rsidP="00E24E01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56AF">
        <w:rPr>
          <w:rFonts w:ascii="Times New Roman" w:hAnsi="Times New Roman"/>
          <w:sz w:val="20"/>
          <w:szCs w:val="20"/>
        </w:rPr>
        <w:t>*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заповнюється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керівником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суб’єкта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господарювання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або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уповноваженою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ним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особою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="00FB37AE">
        <w:rPr>
          <w:rFonts w:ascii="Times New Roman" w:hAnsi="Times New Roman"/>
          <w:sz w:val="20"/>
          <w:szCs w:val="20"/>
        </w:rPr>
        <w:t>в</w:t>
      </w:r>
      <w:r w:rsidR="00FB37AE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добровільному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порядку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шляхом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присвоєння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кожному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з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питань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від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1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до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4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балів,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де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4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позначає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питання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щодо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вимоги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A56AF">
        <w:rPr>
          <w:rFonts w:ascii="Times New Roman" w:hAnsi="Times New Roman"/>
          <w:sz w:val="20"/>
          <w:szCs w:val="20"/>
        </w:rPr>
        <w:t>законодавства,</w:t>
      </w:r>
      <w:r w:rsidR="00990D3B" w:rsidRPr="009A56AF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дотримання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якої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має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найбільше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адміністративне,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фінансове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або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будь-яке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інше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навантаження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на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суб’єкта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господарювання,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а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1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–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питання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щодо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вимоги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законодавства,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дотримання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якої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не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передбачає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такого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навантаження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на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суб’єкта</w:t>
      </w:r>
      <w:r w:rsidR="00990D3B">
        <w:rPr>
          <w:rFonts w:ascii="Times New Roman" w:hAnsi="Times New Roman"/>
          <w:sz w:val="20"/>
          <w:szCs w:val="20"/>
        </w:rPr>
        <w:t xml:space="preserve"> </w:t>
      </w:r>
      <w:r w:rsidRPr="00990D3B">
        <w:rPr>
          <w:rFonts w:ascii="Times New Roman" w:hAnsi="Times New Roman"/>
          <w:sz w:val="20"/>
          <w:szCs w:val="20"/>
        </w:rPr>
        <w:t>господарювання.</w:t>
      </w:r>
    </w:p>
    <w:p w:rsidR="00CE4982" w:rsidRDefault="00CE4982" w:rsidP="00E24E01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E4982" w:rsidRDefault="00CE4982" w:rsidP="00E24E01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E4982" w:rsidRDefault="00CE4982" w:rsidP="00E24E01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46638" w:rsidRPr="00A401AC" w:rsidRDefault="00A401AC" w:rsidP="00E24E01">
      <w:pPr>
        <w:spacing w:after="0"/>
        <w:ind w:firstLine="567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A401A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10 в редакції Постанов Національної комісії, що здійснює державне регулювання у сферах енергетики та комунальних послуг </w:t>
      </w:r>
      <w:r w:rsidRPr="00A401A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601 від 11.03.2020</w:t>
      </w:r>
      <w:r w:rsidRPr="00A401A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, </w:t>
      </w:r>
      <w:r w:rsidRPr="00A401A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935 від 09.06.2021</w:t>
      </w:r>
      <w:r w:rsidRPr="00A401AC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; із змінами, внесеними згідно з Постановами Національної комісії, що здійснює державне регулювання у сферах енергетики та комунальних послуг </w:t>
      </w:r>
      <w:r w:rsidRPr="00A401A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2585 від 17.12.2021</w:t>
      </w:r>
      <w:r w:rsidRPr="00A401A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,</w:t>
      </w:r>
      <w:r w:rsidRPr="00A401AC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A401AC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1265 від 04.10.2022</w:t>
      </w:r>
      <w:r w:rsidRPr="00A401AC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146638" w:rsidRPr="00A401AC" w:rsidSect="009A56AF">
      <w:headerReference w:type="default" r:id="rId13"/>
      <w:pgSz w:w="11906" w:h="16838" w:code="9"/>
      <w:pgMar w:top="1276" w:right="567" w:bottom="851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E6" w:rsidRDefault="005C13E6" w:rsidP="003A6806">
      <w:pPr>
        <w:spacing w:after="0" w:line="240" w:lineRule="auto"/>
      </w:pPr>
      <w:r>
        <w:separator/>
      </w:r>
    </w:p>
  </w:endnote>
  <w:endnote w:type="continuationSeparator" w:id="0">
    <w:p w:rsidR="005C13E6" w:rsidRDefault="005C13E6" w:rsidP="003A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E6" w:rsidRDefault="005C13E6" w:rsidP="003A6806">
      <w:pPr>
        <w:spacing w:after="0" w:line="240" w:lineRule="auto"/>
      </w:pPr>
      <w:r>
        <w:separator/>
      </w:r>
    </w:p>
  </w:footnote>
  <w:footnote w:type="continuationSeparator" w:id="0">
    <w:p w:rsidR="005C13E6" w:rsidRDefault="005C13E6" w:rsidP="003A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6AF" w:rsidRPr="009A56AF" w:rsidRDefault="009A56AF">
    <w:pPr>
      <w:pStyle w:val="afa"/>
      <w:jc w:val="center"/>
      <w:rPr>
        <w:rFonts w:ascii="Times New Roman" w:hAnsi="Times New Roman"/>
        <w:sz w:val="24"/>
        <w:szCs w:val="24"/>
      </w:rPr>
    </w:pPr>
    <w:r w:rsidRPr="009A56AF">
      <w:rPr>
        <w:rFonts w:ascii="Times New Roman" w:hAnsi="Times New Roman"/>
        <w:sz w:val="24"/>
        <w:szCs w:val="24"/>
      </w:rPr>
      <w:fldChar w:fldCharType="begin"/>
    </w:r>
    <w:r w:rsidRPr="009A56AF">
      <w:rPr>
        <w:rFonts w:ascii="Times New Roman" w:hAnsi="Times New Roman"/>
        <w:sz w:val="24"/>
        <w:szCs w:val="24"/>
      </w:rPr>
      <w:instrText>PAGE   \* MERGEFORMAT</w:instrText>
    </w:r>
    <w:r w:rsidRPr="009A56AF">
      <w:rPr>
        <w:rFonts w:ascii="Times New Roman" w:hAnsi="Times New Roman"/>
        <w:sz w:val="24"/>
        <w:szCs w:val="24"/>
      </w:rPr>
      <w:fldChar w:fldCharType="separate"/>
    </w:r>
    <w:r w:rsidR="00EE5F2F">
      <w:rPr>
        <w:rFonts w:ascii="Times New Roman" w:hAnsi="Times New Roman"/>
        <w:noProof/>
        <w:sz w:val="24"/>
        <w:szCs w:val="24"/>
      </w:rPr>
      <w:t>2</w:t>
    </w:r>
    <w:r w:rsidRPr="009A56AF">
      <w:rPr>
        <w:rFonts w:ascii="Times New Roman" w:hAnsi="Times New Roman"/>
        <w:sz w:val="24"/>
        <w:szCs w:val="24"/>
      </w:rPr>
      <w:fldChar w:fldCharType="end"/>
    </w:r>
  </w:p>
  <w:p w:rsidR="009A56AF" w:rsidRDefault="009A56AF" w:rsidP="009A56AF">
    <w:pPr>
      <w:pStyle w:val="afa"/>
      <w:jc w:val="right"/>
      <w:rPr>
        <w:rFonts w:ascii="Times New Roman" w:hAnsi="Times New Roman"/>
        <w:sz w:val="24"/>
        <w:szCs w:val="24"/>
      </w:rPr>
    </w:pPr>
    <w:r w:rsidRPr="009A56AF">
      <w:rPr>
        <w:rFonts w:ascii="Times New Roman" w:hAnsi="Times New Roman"/>
        <w:sz w:val="24"/>
        <w:szCs w:val="24"/>
      </w:rPr>
      <w:t>Продовження додатк</w:t>
    </w:r>
    <w:r w:rsidR="00CE5D8E">
      <w:rPr>
        <w:rFonts w:ascii="Times New Roman" w:hAnsi="Times New Roman"/>
        <w:sz w:val="24"/>
        <w:szCs w:val="24"/>
      </w:rPr>
      <w:t>а</w:t>
    </w:r>
    <w:r w:rsidRPr="009A56AF">
      <w:rPr>
        <w:rFonts w:ascii="Times New Roman" w:hAnsi="Times New Roman"/>
        <w:sz w:val="24"/>
        <w:szCs w:val="24"/>
      </w:rPr>
      <w:t xml:space="preserve"> 10</w:t>
    </w:r>
  </w:p>
  <w:p w:rsidR="009A56AF" w:rsidRPr="009A56AF" w:rsidRDefault="009A56AF" w:rsidP="009A56AF">
    <w:pPr>
      <w:pStyle w:val="afa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025"/>
    <w:multiLevelType w:val="multilevel"/>
    <w:tmpl w:val="3B06D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0" w:hanging="1800"/>
      </w:pPr>
      <w:rPr>
        <w:rFonts w:cs="Times New Roman" w:hint="default"/>
      </w:rPr>
    </w:lvl>
  </w:abstractNum>
  <w:abstractNum w:abstractNumId="1" w15:restartNumberingAfterBreak="0">
    <w:nsid w:val="47554D28"/>
    <w:multiLevelType w:val="multilevel"/>
    <w:tmpl w:val="7FF45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B4"/>
    <w:rsid w:val="00005C69"/>
    <w:rsid w:val="000168EF"/>
    <w:rsid w:val="000311F1"/>
    <w:rsid w:val="00050EE2"/>
    <w:rsid w:val="00053553"/>
    <w:rsid w:val="00053BCA"/>
    <w:rsid w:val="00054DC8"/>
    <w:rsid w:val="00056343"/>
    <w:rsid w:val="000713E8"/>
    <w:rsid w:val="000741B1"/>
    <w:rsid w:val="000746D3"/>
    <w:rsid w:val="000774E9"/>
    <w:rsid w:val="00094AE1"/>
    <w:rsid w:val="00097D74"/>
    <w:rsid w:val="000A5231"/>
    <w:rsid w:val="000B0635"/>
    <w:rsid w:val="000B53C9"/>
    <w:rsid w:val="000B753E"/>
    <w:rsid w:val="000D2C19"/>
    <w:rsid w:val="000D7CDB"/>
    <w:rsid w:val="000E09B6"/>
    <w:rsid w:val="000E52A0"/>
    <w:rsid w:val="000E7E95"/>
    <w:rsid w:val="000F1BEF"/>
    <w:rsid w:val="000F5704"/>
    <w:rsid w:val="000F6F49"/>
    <w:rsid w:val="00106709"/>
    <w:rsid w:val="00111508"/>
    <w:rsid w:val="00120ECB"/>
    <w:rsid w:val="00121416"/>
    <w:rsid w:val="00142264"/>
    <w:rsid w:val="00146638"/>
    <w:rsid w:val="00152560"/>
    <w:rsid w:val="00154D81"/>
    <w:rsid w:val="00165CA7"/>
    <w:rsid w:val="001A71D4"/>
    <w:rsid w:val="001C3E4D"/>
    <w:rsid w:val="001C7C07"/>
    <w:rsid w:val="001D0BF5"/>
    <w:rsid w:val="001E7C0E"/>
    <w:rsid w:val="001F7A68"/>
    <w:rsid w:val="002110F9"/>
    <w:rsid w:val="00224465"/>
    <w:rsid w:val="00240F24"/>
    <w:rsid w:val="002479A3"/>
    <w:rsid w:val="00257AEC"/>
    <w:rsid w:val="00275D5A"/>
    <w:rsid w:val="00293D7F"/>
    <w:rsid w:val="002A330E"/>
    <w:rsid w:val="002A39EB"/>
    <w:rsid w:val="002A4D29"/>
    <w:rsid w:val="002F161F"/>
    <w:rsid w:val="00307E76"/>
    <w:rsid w:val="003231F1"/>
    <w:rsid w:val="00323B59"/>
    <w:rsid w:val="00343B6F"/>
    <w:rsid w:val="00351EAD"/>
    <w:rsid w:val="00351F27"/>
    <w:rsid w:val="00390568"/>
    <w:rsid w:val="00394949"/>
    <w:rsid w:val="003A6806"/>
    <w:rsid w:val="003C5481"/>
    <w:rsid w:val="003D7359"/>
    <w:rsid w:val="003E5B30"/>
    <w:rsid w:val="003E617F"/>
    <w:rsid w:val="003F0ACE"/>
    <w:rsid w:val="003F1425"/>
    <w:rsid w:val="003F34B1"/>
    <w:rsid w:val="003F4E20"/>
    <w:rsid w:val="003F5552"/>
    <w:rsid w:val="004115FC"/>
    <w:rsid w:val="004139EF"/>
    <w:rsid w:val="00415C44"/>
    <w:rsid w:val="00422E3D"/>
    <w:rsid w:val="004254E8"/>
    <w:rsid w:val="004533BC"/>
    <w:rsid w:val="00455D3A"/>
    <w:rsid w:val="004653B7"/>
    <w:rsid w:val="0049707F"/>
    <w:rsid w:val="004B6452"/>
    <w:rsid w:val="004D2151"/>
    <w:rsid w:val="004E2491"/>
    <w:rsid w:val="004E28B3"/>
    <w:rsid w:val="004F444B"/>
    <w:rsid w:val="004F5411"/>
    <w:rsid w:val="00510406"/>
    <w:rsid w:val="005115E1"/>
    <w:rsid w:val="005168E0"/>
    <w:rsid w:val="0052035C"/>
    <w:rsid w:val="00533EF7"/>
    <w:rsid w:val="00537F97"/>
    <w:rsid w:val="00540B3A"/>
    <w:rsid w:val="0056089F"/>
    <w:rsid w:val="00562A47"/>
    <w:rsid w:val="00570AEB"/>
    <w:rsid w:val="005749BD"/>
    <w:rsid w:val="00587202"/>
    <w:rsid w:val="005A218F"/>
    <w:rsid w:val="005B1774"/>
    <w:rsid w:val="005C13E6"/>
    <w:rsid w:val="005D41E1"/>
    <w:rsid w:val="005E0E87"/>
    <w:rsid w:val="005F1DA3"/>
    <w:rsid w:val="005F5D3D"/>
    <w:rsid w:val="005F62D9"/>
    <w:rsid w:val="00600EF5"/>
    <w:rsid w:val="00602369"/>
    <w:rsid w:val="006044FA"/>
    <w:rsid w:val="006078CD"/>
    <w:rsid w:val="0061141C"/>
    <w:rsid w:val="00614C8B"/>
    <w:rsid w:val="00614CDF"/>
    <w:rsid w:val="00621AB3"/>
    <w:rsid w:val="006234D4"/>
    <w:rsid w:val="006274F5"/>
    <w:rsid w:val="006317A7"/>
    <w:rsid w:val="00631FCB"/>
    <w:rsid w:val="006378F5"/>
    <w:rsid w:val="00637D5D"/>
    <w:rsid w:val="006655BB"/>
    <w:rsid w:val="00682121"/>
    <w:rsid w:val="00685931"/>
    <w:rsid w:val="006900C9"/>
    <w:rsid w:val="006934CD"/>
    <w:rsid w:val="006A32EA"/>
    <w:rsid w:val="006A48C7"/>
    <w:rsid w:val="006B1285"/>
    <w:rsid w:val="006B2D04"/>
    <w:rsid w:val="006C285D"/>
    <w:rsid w:val="006C2936"/>
    <w:rsid w:val="006C5E6C"/>
    <w:rsid w:val="006D2BFD"/>
    <w:rsid w:val="006D6B6D"/>
    <w:rsid w:val="006D7DD2"/>
    <w:rsid w:val="006E5762"/>
    <w:rsid w:val="00701914"/>
    <w:rsid w:val="0070418B"/>
    <w:rsid w:val="00706CCA"/>
    <w:rsid w:val="007126AF"/>
    <w:rsid w:val="007170AC"/>
    <w:rsid w:val="007210ED"/>
    <w:rsid w:val="00732D23"/>
    <w:rsid w:val="00733BE4"/>
    <w:rsid w:val="007403FD"/>
    <w:rsid w:val="007469D5"/>
    <w:rsid w:val="007762A1"/>
    <w:rsid w:val="00785497"/>
    <w:rsid w:val="007906F3"/>
    <w:rsid w:val="00795A92"/>
    <w:rsid w:val="007B4C17"/>
    <w:rsid w:val="007B7AF7"/>
    <w:rsid w:val="007C33A6"/>
    <w:rsid w:val="007C5262"/>
    <w:rsid w:val="007C561C"/>
    <w:rsid w:val="007D21AE"/>
    <w:rsid w:val="007D607E"/>
    <w:rsid w:val="007E46FC"/>
    <w:rsid w:val="007F0F22"/>
    <w:rsid w:val="007F2565"/>
    <w:rsid w:val="00800CBC"/>
    <w:rsid w:val="00814446"/>
    <w:rsid w:val="0081695B"/>
    <w:rsid w:val="00822401"/>
    <w:rsid w:val="0083480B"/>
    <w:rsid w:val="008356E9"/>
    <w:rsid w:val="00844255"/>
    <w:rsid w:val="00852C04"/>
    <w:rsid w:val="008610E7"/>
    <w:rsid w:val="008642BE"/>
    <w:rsid w:val="00874D0D"/>
    <w:rsid w:val="00875675"/>
    <w:rsid w:val="0088449C"/>
    <w:rsid w:val="008909CE"/>
    <w:rsid w:val="00891C00"/>
    <w:rsid w:val="00896B68"/>
    <w:rsid w:val="008A1910"/>
    <w:rsid w:val="008A4148"/>
    <w:rsid w:val="008A635C"/>
    <w:rsid w:val="008A64E7"/>
    <w:rsid w:val="008B0E0C"/>
    <w:rsid w:val="008C1B7A"/>
    <w:rsid w:val="008C54F9"/>
    <w:rsid w:val="008C5735"/>
    <w:rsid w:val="008E0B7E"/>
    <w:rsid w:val="008E2E8F"/>
    <w:rsid w:val="009015F7"/>
    <w:rsid w:val="00914C09"/>
    <w:rsid w:val="00922F76"/>
    <w:rsid w:val="009233AD"/>
    <w:rsid w:val="00925613"/>
    <w:rsid w:val="00930766"/>
    <w:rsid w:val="00931252"/>
    <w:rsid w:val="0094697B"/>
    <w:rsid w:val="00951B05"/>
    <w:rsid w:val="0095343A"/>
    <w:rsid w:val="00956E1D"/>
    <w:rsid w:val="009648E2"/>
    <w:rsid w:val="00964981"/>
    <w:rsid w:val="0097699C"/>
    <w:rsid w:val="009838D6"/>
    <w:rsid w:val="00984605"/>
    <w:rsid w:val="00990D3B"/>
    <w:rsid w:val="009A153F"/>
    <w:rsid w:val="009A5056"/>
    <w:rsid w:val="009A56AF"/>
    <w:rsid w:val="009B19F9"/>
    <w:rsid w:val="009C375C"/>
    <w:rsid w:val="009C5820"/>
    <w:rsid w:val="009D108E"/>
    <w:rsid w:val="009D5F66"/>
    <w:rsid w:val="00A01780"/>
    <w:rsid w:val="00A20586"/>
    <w:rsid w:val="00A401AC"/>
    <w:rsid w:val="00A51EBA"/>
    <w:rsid w:val="00A52A9C"/>
    <w:rsid w:val="00A63CDE"/>
    <w:rsid w:val="00A6512E"/>
    <w:rsid w:val="00A676DA"/>
    <w:rsid w:val="00A80E98"/>
    <w:rsid w:val="00A862C2"/>
    <w:rsid w:val="00A94871"/>
    <w:rsid w:val="00A97DD8"/>
    <w:rsid w:val="00AA08E8"/>
    <w:rsid w:val="00AA4FBB"/>
    <w:rsid w:val="00AA6F86"/>
    <w:rsid w:val="00AB0107"/>
    <w:rsid w:val="00AC5B13"/>
    <w:rsid w:val="00AD718F"/>
    <w:rsid w:val="00AD7D5D"/>
    <w:rsid w:val="00B04CA4"/>
    <w:rsid w:val="00B117B3"/>
    <w:rsid w:val="00B17FD3"/>
    <w:rsid w:val="00B26C5F"/>
    <w:rsid w:val="00B31292"/>
    <w:rsid w:val="00B35FF7"/>
    <w:rsid w:val="00B364EE"/>
    <w:rsid w:val="00B4266F"/>
    <w:rsid w:val="00B506F2"/>
    <w:rsid w:val="00B62557"/>
    <w:rsid w:val="00B64072"/>
    <w:rsid w:val="00B656F2"/>
    <w:rsid w:val="00B67757"/>
    <w:rsid w:val="00B71A34"/>
    <w:rsid w:val="00B73DB4"/>
    <w:rsid w:val="00B85F61"/>
    <w:rsid w:val="00B86BA0"/>
    <w:rsid w:val="00B94434"/>
    <w:rsid w:val="00B9508C"/>
    <w:rsid w:val="00B95B35"/>
    <w:rsid w:val="00BA4C5B"/>
    <w:rsid w:val="00BB2686"/>
    <w:rsid w:val="00BC5632"/>
    <w:rsid w:val="00BC5C68"/>
    <w:rsid w:val="00BD0016"/>
    <w:rsid w:val="00BF382F"/>
    <w:rsid w:val="00C101F0"/>
    <w:rsid w:val="00C27DF0"/>
    <w:rsid w:val="00C34B4C"/>
    <w:rsid w:val="00C34D0F"/>
    <w:rsid w:val="00C3776B"/>
    <w:rsid w:val="00C40579"/>
    <w:rsid w:val="00C41BE0"/>
    <w:rsid w:val="00C45FB5"/>
    <w:rsid w:val="00C5120F"/>
    <w:rsid w:val="00C64B93"/>
    <w:rsid w:val="00C67CE7"/>
    <w:rsid w:val="00C703AC"/>
    <w:rsid w:val="00C74AAF"/>
    <w:rsid w:val="00C76379"/>
    <w:rsid w:val="00C80FFF"/>
    <w:rsid w:val="00C811E2"/>
    <w:rsid w:val="00C83DC8"/>
    <w:rsid w:val="00C853DF"/>
    <w:rsid w:val="00C931FF"/>
    <w:rsid w:val="00CC0004"/>
    <w:rsid w:val="00CC0783"/>
    <w:rsid w:val="00CC3579"/>
    <w:rsid w:val="00CD5440"/>
    <w:rsid w:val="00CE4982"/>
    <w:rsid w:val="00CE5CA3"/>
    <w:rsid w:val="00CE5D8E"/>
    <w:rsid w:val="00CF2DFD"/>
    <w:rsid w:val="00CF4D21"/>
    <w:rsid w:val="00D07C6B"/>
    <w:rsid w:val="00D32CE6"/>
    <w:rsid w:val="00D40C3E"/>
    <w:rsid w:val="00D439A3"/>
    <w:rsid w:val="00D47F39"/>
    <w:rsid w:val="00D565DC"/>
    <w:rsid w:val="00D654EC"/>
    <w:rsid w:val="00D75B38"/>
    <w:rsid w:val="00D90844"/>
    <w:rsid w:val="00DB2C36"/>
    <w:rsid w:val="00DD21C5"/>
    <w:rsid w:val="00DD5CD6"/>
    <w:rsid w:val="00DD6938"/>
    <w:rsid w:val="00DE0CA4"/>
    <w:rsid w:val="00DF4AC2"/>
    <w:rsid w:val="00DF6E21"/>
    <w:rsid w:val="00DF7B3D"/>
    <w:rsid w:val="00E009B0"/>
    <w:rsid w:val="00E14189"/>
    <w:rsid w:val="00E14237"/>
    <w:rsid w:val="00E160F5"/>
    <w:rsid w:val="00E230D5"/>
    <w:rsid w:val="00E23567"/>
    <w:rsid w:val="00E24599"/>
    <w:rsid w:val="00E24D4B"/>
    <w:rsid w:val="00E24E01"/>
    <w:rsid w:val="00E2563E"/>
    <w:rsid w:val="00E31B4A"/>
    <w:rsid w:val="00E33671"/>
    <w:rsid w:val="00E402FC"/>
    <w:rsid w:val="00E52B93"/>
    <w:rsid w:val="00E54821"/>
    <w:rsid w:val="00E57160"/>
    <w:rsid w:val="00E579AD"/>
    <w:rsid w:val="00E6191D"/>
    <w:rsid w:val="00E66798"/>
    <w:rsid w:val="00E73056"/>
    <w:rsid w:val="00E730DA"/>
    <w:rsid w:val="00E735EE"/>
    <w:rsid w:val="00E75B78"/>
    <w:rsid w:val="00E75BB4"/>
    <w:rsid w:val="00EA4C45"/>
    <w:rsid w:val="00EA7F94"/>
    <w:rsid w:val="00EB02C4"/>
    <w:rsid w:val="00EB198A"/>
    <w:rsid w:val="00EC2635"/>
    <w:rsid w:val="00EE5F2F"/>
    <w:rsid w:val="00F163B4"/>
    <w:rsid w:val="00F23F04"/>
    <w:rsid w:val="00F25849"/>
    <w:rsid w:val="00F31FEF"/>
    <w:rsid w:val="00F45D70"/>
    <w:rsid w:val="00F46326"/>
    <w:rsid w:val="00F57EE4"/>
    <w:rsid w:val="00F62576"/>
    <w:rsid w:val="00F640BD"/>
    <w:rsid w:val="00F67A83"/>
    <w:rsid w:val="00F67CB6"/>
    <w:rsid w:val="00F7296F"/>
    <w:rsid w:val="00F7424D"/>
    <w:rsid w:val="00F755AC"/>
    <w:rsid w:val="00F83A16"/>
    <w:rsid w:val="00F93FD9"/>
    <w:rsid w:val="00F95F17"/>
    <w:rsid w:val="00F96294"/>
    <w:rsid w:val="00FA5752"/>
    <w:rsid w:val="00FB37AE"/>
    <w:rsid w:val="00FB5C2F"/>
    <w:rsid w:val="00FC4A2E"/>
    <w:rsid w:val="00FE26FC"/>
    <w:rsid w:val="00FE4203"/>
    <w:rsid w:val="00FE43DD"/>
    <w:rsid w:val="00FE7021"/>
    <w:rsid w:val="00FE7413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E05C9"/>
  <w15:docId w15:val="{1D03E539-1498-4955-A4CD-E5535293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09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009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4"/>
    <w:next w:val="a5"/>
    <w:link w:val="a6"/>
    <w:autoRedefine/>
    <w:rsid w:val="00E009B0"/>
    <w:rPr>
      <w:rFonts w:ascii="Times New Roman" w:hAnsi="Times New Roman"/>
      <w:sz w:val="27"/>
    </w:rPr>
  </w:style>
  <w:style w:type="character" w:customStyle="1" w:styleId="a6">
    <w:name w:val="Для документов Знак"/>
    <w:link w:val="a3"/>
    <w:locked/>
    <w:rsid w:val="00E009B0"/>
    <w:rPr>
      <w:rFonts w:ascii="Times New Roman" w:hAnsi="Times New Roman" w:cs="Consolas"/>
      <w:sz w:val="21"/>
      <w:szCs w:val="21"/>
    </w:rPr>
  </w:style>
  <w:style w:type="paragraph" w:styleId="a4">
    <w:name w:val="Plain Text"/>
    <w:basedOn w:val="a"/>
    <w:link w:val="a7"/>
    <w:semiHidden/>
    <w:rsid w:val="00E009B0"/>
    <w:rPr>
      <w:rFonts w:ascii="Consolas" w:hAnsi="Consolas" w:cs="Consolas"/>
      <w:sz w:val="21"/>
      <w:szCs w:val="21"/>
    </w:rPr>
  </w:style>
  <w:style w:type="character" w:customStyle="1" w:styleId="a7">
    <w:name w:val="Текст Знак"/>
    <w:link w:val="a4"/>
    <w:semiHidden/>
    <w:locked/>
    <w:rsid w:val="00E009B0"/>
    <w:rPr>
      <w:rFonts w:ascii="Consolas" w:hAnsi="Consolas" w:cs="Consolas"/>
      <w:sz w:val="21"/>
      <w:szCs w:val="21"/>
    </w:rPr>
  </w:style>
  <w:style w:type="paragraph" w:styleId="a5">
    <w:name w:val="Body Text"/>
    <w:basedOn w:val="a"/>
    <w:link w:val="a8"/>
    <w:semiHidden/>
    <w:rsid w:val="00E009B0"/>
    <w:pPr>
      <w:spacing w:after="120"/>
    </w:pPr>
  </w:style>
  <w:style w:type="character" w:customStyle="1" w:styleId="a8">
    <w:name w:val="Основний текст Знак"/>
    <w:link w:val="a5"/>
    <w:semiHidden/>
    <w:locked/>
    <w:rsid w:val="00E009B0"/>
    <w:rPr>
      <w:rFonts w:cs="Times New Roman"/>
    </w:rPr>
  </w:style>
  <w:style w:type="character" w:customStyle="1" w:styleId="10">
    <w:name w:val="Заголовок 1 Знак"/>
    <w:link w:val="1"/>
    <w:locked/>
    <w:rsid w:val="00E009B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locked/>
    <w:rsid w:val="00E009B0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1">
    <w:name w:val="Без інтервалів1"/>
    <w:rsid w:val="00E009B0"/>
    <w:pPr>
      <w:ind w:firstLine="709"/>
      <w:jc w:val="both"/>
    </w:pPr>
    <w:rPr>
      <w:rFonts w:eastAsia="Times New Roman"/>
      <w:sz w:val="24"/>
      <w:szCs w:val="24"/>
    </w:rPr>
  </w:style>
  <w:style w:type="character" w:customStyle="1" w:styleId="a9">
    <w:name w:val="Дата текст"/>
    <w:rsid w:val="00E009B0"/>
    <w:rPr>
      <w:rFonts w:ascii="Times New Roman" w:hAnsi="Times New Roman" w:cs="Consolas"/>
      <w:sz w:val="21"/>
      <w:szCs w:val="21"/>
    </w:rPr>
  </w:style>
  <w:style w:type="paragraph" w:styleId="aa">
    <w:name w:val="Date"/>
    <w:basedOn w:val="a"/>
    <w:next w:val="a"/>
    <w:link w:val="ab"/>
    <w:rsid w:val="00E009B0"/>
  </w:style>
  <w:style w:type="character" w:customStyle="1" w:styleId="ab">
    <w:name w:val="Дата Знак"/>
    <w:link w:val="aa"/>
    <w:locked/>
    <w:rsid w:val="00E009B0"/>
    <w:rPr>
      <w:rFonts w:ascii="Times New Roman" w:hAnsi="Times New Roman" w:cs="Times New Roman"/>
    </w:rPr>
  </w:style>
  <w:style w:type="paragraph" w:styleId="ac">
    <w:name w:val="annotation text"/>
    <w:basedOn w:val="a"/>
    <w:link w:val="ad"/>
    <w:semiHidden/>
    <w:rsid w:val="00E009B0"/>
    <w:rPr>
      <w:sz w:val="20"/>
      <w:szCs w:val="20"/>
    </w:rPr>
  </w:style>
  <w:style w:type="character" w:customStyle="1" w:styleId="ad">
    <w:name w:val="Текст примітки Знак"/>
    <w:link w:val="ac"/>
    <w:semiHidden/>
    <w:locked/>
    <w:rsid w:val="00E009B0"/>
    <w:rPr>
      <w:rFonts w:cs="Times New Roman"/>
      <w:sz w:val="20"/>
      <w:szCs w:val="20"/>
    </w:rPr>
  </w:style>
  <w:style w:type="character" w:styleId="ae">
    <w:name w:val="annotation reference"/>
    <w:semiHidden/>
    <w:rsid w:val="00E009B0"/>
    <w:rPr>
      <w:rFonts w:cs="Times New Roman"/>
      <w:sz w:val="16"/>
      <w:szCs w:val="16"/>
    </w:rPr>
  </w:style>
  <w:style w:type="character" w:styleId="af">
    <w:name w:val="Hyperlink"/>
    <w:rsid w:val="00E009B0"/>
    <w:rPr>
      <w:rFonts w:cs="Times New Roman"/>
      <w:color w:val="0000FF"/>
      <w:u w:val="single"/>
    </w:rPr>
  </w:style>
  <w:style w:type="paragraph" w:styleId="af0">
    <w:name w:val="annotation subject"/>
    <w:basedOn w:val="ac"/>
    <w:next w:val="ac"/>
    <w:link w:val="af1"/>
    <w:semiHidden/>
    <w:rsid w:val="00E009B0"/>
    <w:rPr>
      <w:b/>
      <w:bCs/>
    </w:rPr>
  </w:style>
  <w:style w:type="character" w:customStyle="1" w:styleId="af1">
    <w:name w:val="Тема примітки Знак"/>
    <w:link w:val="af0"/>
    <w:semiHidden/>
    <w:locked/>
    <w:rsid w:val="00E009B0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semiHidden/>
    <w:rsid w:val="00E009B0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link w:val="af2"/>
    <w:semiHidden/>
    <w:locked/>
    <w:rsid w:val="00E009B0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E009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rsid w:val="00EA7F94"/>
    <w:pPr>
      <w:contextualSpacing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f6">
    <w:name w:val="Основний текст з відступом Знак"/>
    <w:link w:val="af5"/>
    <w:locked/>
    <w:rsid w:val="00EA7F94"/>
    <w:rPr>
      <w:sz w:val="28"/>
      <w:lang w:val="x-none" w:eastAsia="ru-RU"/>
    </w:rPr>
  </w:style>
  <w:style w:type="paragraph" w:styleId="21">
    <w:name w:val="Body Text 2"/>
    <w:basedOn w:val="a"/>
    <w:link w:val="22"/>
    <w:rsid w:val="003A680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ий текст 2 Знак"/>
    <w:link w:val="21"/>
    <w:locked/>
    <w:rsid w:val="003A6806"/>
    <w:rPr>
      <w:rFonts w:eastAsia="Times New Roman" w:cs="Times New Roman"/>
      <w:lang w:val="x-none" w:eastAsia="en-US"/>
    </w:rPr>
  </w:style>
  <w:style w:type="table" w:customStyle="1" w:styleId="4">
    <w:name w:val="Сетка таблицы4"/>
    <w:rsid w:val="003A6806"/>
    <w:rPr>
      <w:sz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paragraph" w:styleId="af7">
    <w:name w:val="footnote text"/>
    <w:basedOn w:val="a"/>
    <w:link w:val="af8"/>
    <w:semiHidden/>
    <w:rsid w:val="003A6806"/>
    <w:pPr>
      <w:spacing w:after="0" w:line="240" w:lineRule="auto"/>
    </w:pPr>
    <w:rPr>
      <w:sz w:val="20"/>
      <w:szCs w:val="20"/>
    </w:rPr>
  </w:style>
  <w:style w:type="character" w:customStyle="1" w:styleId="af8">
    <w:name w:val="Текст виноски Знак"/>
    <w:link w:val="af7"/>
    <w:semiHidden/>
    <w:locked/>
    <w:rsid w:val="003A6806"/>
    <w:rPr>
      <w:rFonts w:ascii="Calibri" w:hAnsi="Calibri" w:cs="Times New Roman"/>
      <w:sz w:val="20"/>
      <w:szCs w:val="20"/>
      <w:lang w:val="x-none" w:eastAsia="en-US"/>
    </w:rPr>
  </w:style>
  <w:style w:type="character" w:styleId="af9">
    <w:name w:val="footnote reference"/>
    <w:semiHidden/>
    <w:rsid w:val="003A6806"/>
    <w:rPr>
      <w:rFonts w:cs="Times New Roman"/>
      <w:vertAlign w:val="superscript"/>
    </w:rPr>
  </w:style>
  <w:style w:type="paragraph" w:styleId="afa">
    <w:name w:val="header"/>
    <w:basedOn w:val="a"/>
    <w:link w:val="afb"/>
    <w:uiPriority w:val="99"/>
    <w:rsid w:val="003A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link w:val="afa"/>
    <w:uiPriority w:val="99"/>
    <w:locked/>
    <w:rsid w:val="003A6806"/>
    <w:rPr>
      <w:rFonts w:ascii="Calibri" w:hAnsi="Calibri" w:cs="Times New Roman"/>
      <w:sz w:val="22"/>
      <w:szCs w:val="22"/>
      <w:lang w:val="x-none" w:eastAsia="en-US"/>
    </w:rPr>
  </w:style>
  <w:style w:type="paragraph" w:styleId="afc">
    <w:name w:val="footer"/>
    <w:basedOn w:val="a"/>
    <w:link w:val="afd"/>
    <w:rsid w:val="003A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link w:val="afc"/>
    <w:locked/>
    <w:rsid w:val="003A6806"/>
    <w:rPr>
      <w:rFonts w:ascii="Calibri" w:hAnsi="Calibri" w:cs="Times New Roman"/>
      <w:sz w:val="22"/>
      <w:szCs w:val="22"/>
      <w:lang w:val="x-none" w:eastAsia="en-US"/>
    </w:rPr>
  </w:style>
  <w:style w:type="table" w:customStyle="1" w:styleId="41">
    <w:name w:val="Сетка таблицы41"/>
    <w:rsid w:val="00EC2635"/>
    <w:rPr>
      <w:sz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character" w:customStyle="1" w:styleId="rvts0">
    <w:name w:val="rvts0"/>
    <w:rsid w:val="00F46326"/>
    <w:rPr>
      <w:rFonts w:cs="Times New Roman"/>
    </w:rPr>
  </w:style>
  <w:style w:type="character" w:customStyle="1" w:styleId="rvts9">
    <w:name w:val="rvts9"/>
    <w:rsid w:val="00600EF5"/>
    <w:rPr>
      <w:rFonts w:cs="Times New Roman"/>
    </w:rPr>
  </w:style>
  <w:style w:type="paragraph" w:customStyle="1" w:styleId="12">
    <w:name w:val="Абзац списку1"/>
    <w:basedOn w:val="a"/>
    <w:rsid w:val="006934CD"/>
    <w:pPr>
      <w:ind w:left="720"/>
      <w:contextualSpacing/>
    </w:pPr>
  </w:style>
  <w:style w:type="character" w:customStyle="1" w:styleId="st131">
    <w:name w:val="st131"/>
    <w:uiPriority w:val="99"/>
    <w:rsid w:val="00CE4982"/>
    <w:rPr>
      <w:i/>
      <w:iCs/>
      <w:color w:val="0000FF"/>
    </w:rPr>
  </w:style>
  <w:style w:type="character" w:customStyle="1" w:styleId="st46">
    <w:name w:val="st46"/>
    <w:uiPriority w:val="99"/>
    <w:rsid w:val="00CE4982"/>
    <w:rPr>
      <w:i/>
      <w:iCs/>
      <w:color w:val="000000"/>
    </w:rPr>
  </w:style>
  <w:style w:type="character" w:customStyle="1" w:styleId="st42">
    <w:name w:val="st42"/>
    <w:uiPriority w:val="99"/>
    <w:rsid w:val="00614C8B"/>
    <w:rPr>
      <w:color w:val="000000"/>
    </w:rPr>
  </w:style>
  <w:style w:type="character" w:customStyle="1" w:styleId="st910">
    <w:name w:val="st910"/>
    <w:uiPriority w:val="99"/>
    <w:rsid w:val="00614C8B"/>
    <w:rPr>
      <w:color w:val="0000FF"/>
    </w:rPr>
  </w:style>
  <w:style w:type="character" w:customStyle="1" w:styleId="st121">
    <w:name w:val="st121"/>
    <w:uiPriority w:val="99"/>
    <w:rsid w:val="00614C8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22-08" TargetMode="External"/><Relationship Id="rId12" Type="http://schemas.openxmlformats.org/officeDocument/2006/relationships/hyperlink" Target="https://zakon.rada.gov.ua/laws/show/201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019-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01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19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15883</Words>
  <Characters>9054</Characters>
  <Application>Microsoft Office Word</Application>
  <DocSecurity>0</DocSecurity>
  <Lines>75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24888</CharactersWithSpaces>
  <SharedDoc>false</SharedDoc>
  <HLinks>
    <vt:vector size="36" baseType="variant">
      <vt:variant>
        <vt:i4>6291582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https://zakon.rada.gov.ua/laws/show/2019-19</vt:lpwstr>
      </vt:variant>
      <vt:variant>
        <vt:lpwstr>n1228</vt:lpwstr>
      </vt:variant>
      <vt:variant>
        <vt:i4>7209077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https://zakon.rada.gov.ua/laws/show/2019-19</vt:lpwstr>
      </vt:variant>
      <vt:variant>
        <vt:lpwstr>n499</vt:lpwstr>
      </vt:variant>
      <vt:variant>
        <vt:i4>6422649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https://zakon.rada.gov.ua/laws/show/2019-19</vt:lpwstr>
      </vt:variant>
      <vt:variant>
        <vt:lpwstr>n958</vt:lpwstr>
      </vt:variant>
      <vt:variant>
        <vt:i4>6488098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https://zakon.rada.gov.ua/laws/show/2019-19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https://zakon.rada.gov.ua/laws/show/322-08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13</cp:revision>
  <cp:lastPrinted>2020-03-05T06:06:00Z</cp:lastPrinted>
  <dcterms:created xsi:type="dcterms:W3CDTF">2022-12-13T05:45:00Z</dcterms:created>
  <dcterms:modified xsi:type="dcterms:W3CDTF">2022-12-13T05:47:00Z</dcterms:modified>
</cp:coreProperties>
</file>