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4591"/>
        <w:gridCol w:w="5330"/>
      </w:tblGrid>
      <w:tr w:rsidR="008859C0" w:rsidRPr="007A074E" w:rsidTr="008C381D">
        <w:tc>
          <w:tcPr>
            <w:tcW w:w="2314" w:type="pct"/>
          </w:tcPr>
          <w:p w:rsidR="008859C0" w:rsidRPr="007A074E" w:rsidRDefault="008859C0" w:rsidP="00D47AF4">
            <w:pPr>
              <w:rPr>
                <w:lang w:val="uk-UA" w:eastAsia="uk-UA"/>
              </w:rPr>
            </w:pPr>
          </w:p>
        </w:tc>
        <w:tc>
          <w:tcPr>
            <w:tcW w:w="2686" w:type="pct"/>
          </w:tcPr>
          <w:p w:rsidR="008859C0" w:rsidRPr="00437545" w:rsidRDefault="00437545" w:rsidP="00D47AF4">
            <w:pPr>
              <w:jc w:val="both"/>
              <w:rPr>
                <w:sz w:val="28"/>
                <w:lang w:val="en-US" w:eastAsia="uk-UA"/>
              </w:rPr>
            </w:pPr>
            <w:r>
              <w:rPr>
                <w:sz w:val="28"/>
                <w:lang w:val="uk-UA" w:eastAsia="uk-UA"/>
              </w:rPr>
              <w:t>Додаток 1</w:t>
            </w:r>
            <w:r>
              <w:rPr>
                <w:sz w:val="28"/>
                <w:lang w:val="en-US" w:eastAsia="uk-UA"/>
              </w:rPr>
              <w:t>6</w:t>
            </w:r>
          </w:p>
          <w:p w:rsidR="008859C0" w:rsidRPr="007A074E" w:rsidRDefault="008859C0" w:rsidP="00D47AF4">
            <w:pPr>
              <w:rPr>
                <w:sz w:val="28"/>
                <w:lang w:val="uk-UA" w:eastAsia="uk-UA"/>
              </w:rPr>
            </w:pPr>
            <w:r w:rsidRPr="007A074E">
              <w:rPr>
                <w:sz w:val="28"/>
                <w:lang w:val="uk-UA" w:eastAsia="uk-UA"/>
              </w:rPr>
              <w:t>до Порядку контролю за дотриманням ліцензіатами, що провадять діяльність у сферах енергетики та комунальних послуг, законодавства у відповідних сферах та ліцензійних умов</w:t>
            </w:r>
          </w:p>
          <w:p w:rsidR="008859C0" w:rsidRPr="007A074E" w:rsidRDefault="008859C0" w:rsidP="00D47AF4">
            <w:pPr>
              <w:jc w:val="both"/>
              <w:rPr>
                <w:lang w:val="uk-UA" w:eastAsia="uk-UA"/>
              </w:rPr>
            </w:pPr>
            <w:r w:rsidRPr="007A074E">
              <w:rPr>
                <w:sz w:val="28"/>
                <w:lang w:val="uk-UA" w:eastAsia="uk-UA"/>
              </w:rPr>
              <w:t>(пункти 3.7, 7.1)</w:t>
            </w:r>
          </w:p>
        </w:tc>
      </w:tr>
    </w:tbl>
    <w:p w:rsidR="008859C0" w:rsidRPr="007A074E" w:rsidRDefault="008859C0" w:rsidP="00007DBC">
      <w:pPr>
        <w:jc w:val="right"/>
        <w:rPr>
          <w:lang w:val="uk-UA"/>
        </w:rPr>
      </w:pPr>
    </w:p>
    <w:p w:rsidR="008859C0" w:rsidRPr="007A074E" w:rsidRDefault="008859C0" w:rsidP="00007DBC">
      <w:pPr>
        <w:jc w:val="center"/>
        <w:rPr>
          <w:sz w:val="28"/>
          <w:szCs w:val="28"/>
          <w:lang w:val="uk-UA"/>
        </w:rPr>
      </w:pPr>
      <w:r w:rsidRPr="007A074E">
        <w:rPr>
          <w:sz w:val="28"/>
          <w:szCs w:val="28"/>
          <w:lang w:val="uk-UA"/>
        </w:rPr>
        <w:t>ПЕРЕЛІК ПИТАНЬ</w:t>
      </w:r>
    </w:p>
    <w:p w:rsidR="008859C0" w:rsidRPr="007A074E" w:rsidRDefault="008859C0" w:rsidP="00007DBC">
      <w:pPr>
        <w:pStyle w:val="a9"/>
        <w:spacing w:before="0" w:beforeAutospacing="0" w:after="0" w:afterAutospacing="0"/>
        <w:jc w:val="center"/>
        <w:rPr>
          <w:sz w:val="28"/>
          <w:szCs w:val="28"/>
          <w:lang w:val="uk-UA"/>
        </w:rPr>
      </w:pPr>
      <w:r w:rsidRPr="007A074E">
        <w:rPr>
          <w:sz w:val="28"/>
          <w:szCs w:val="28"/>
          <w:lang w:val="uk-UA"/>
        </w:rPr>
        <w:t>для перевірки дотримання вимог законодавства та ліцензійних умов провадження господарської діяльності з постачання природного газу</w:t>
      </w:r>
    </w:p>
    <w:p w:rsidR="008859C0" w:rsidRPr="007A074E" w:rsidRDefault="008859C0" w:rsidP="00007DBC">
      <w:pPr>
        <w:pStyle w:val="a3"/>
        <w:tabs>
          <w:tab w:val="left" w:pos="1134"/>
        </w:tabs>
        <w:spacing w:before="60" w:after="60"/>
        <w:ind w:left="0" w:firstLine="709"/>
        <w:jc w:val="both"/>
        <w:rPr>
          <w:bCs/>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942"/>
        <w:gridCol w:w="1951"/>
        <w:gridCol w:w="500"/>
        <w:gridCol w:w="500"/>
        <w:gridCol w:w="500"/>
        <w:gridCol w:w="1882"/>
      </w:tblGrid>
      <w:tr w:rsidR="008859C0" w:rsidRPr="007A074E" w:rsidTr="008C381D">
        <w:tc>
          <w:tcPr>
            <w:tcW w:w="0" w:type="auto"/>
            <w:vMerge w:val="restart"/>
            <w:vAlign w:val="center"/>
          </w:tcPr>
          <w:p w:rsidR="008859C0" w:rsidRPr="007A074E" w:rsidRDefault="008859C0" w:rsidP="00D47AF4">
            <w:pPr>
              <w:rPr>
                <w:lang w:val="uk-UA"/>
              </w:rPr>
            </w:pPr>
            <w:r w:rsidRPr="007A074E">
              <w:rPr>
                <w:lang w:val="uk-UA"/>
              </w:rPr>
              <w:t>№ з/п</w:t>
            </w:r>
          </w:p>
        </w:tc>
        <w:tc>
          <w:tcPr>
            <w:tcW w:w="0" w:type="auto"/>
            <w:vMerge w:val="restart"/>
            <w:vAlign w:val="center"/>
          </w:tcPr>
          <w:p w:rsidR="008859C0" w:rsidRPr="007A074E" w:rsidRDefault="008859C0" w:rsidP="00D47AF4">
            <w:pPr>
              <w:jc w:val="center"/>
              <w:rPr>
                <w:lang w:val="uk-UA"/>
              </w:rPr>
            </w:pPr>
            <w:r w:rsidRPr="007A074E">
              <w:rPr>
                <w:bCs/>
                <w:lang w:val="uk-UA"/>
              </w:rPr>
              <w:t>Питання щодо дотримання суб’єктом господарювання вимог законодавства України та ліцензійних умов</w:t>
            </w:r>
          </w:p>
        </w:tc>
        <w:tc>
          <w:tcPr>
            <w:tcW w:w="0" w:type="auto"/>
            <w:vMerge w:val="restart"/>
            <w:vAlign w:val="center"/>
          </w:tcPr>
          <w:p w:rsidR="008859C0" w:rsidRPr="007A074E" w:rsidRDefault="008859C0" w:rsidP="00D47AF4">
            <w:pPr>
              <w:jc w:val="center"/>
              <w:rPr>
                <w:lang w:val="uk-UA"/>
              </w:rPr>
            </w:pPr>
            <w:r w:rsidRPr="007A074E">
              <w:rPr>
                <w:lang w:val="uk-UA"/>
              </w:rPr>
              <w:t>Позиція суб’єкта господарювання щодо негативного впливу вимоги законодавства (від 1 до 4 балів)*</w:t>
            </w:r>
          </w:p>
        </w:tc>
        <w:tc>
          <w:tcPr>
            <w:tcW w:w="0" w:type="auto"/>
            <w:gridSpan w:val="3"/>
            <w:vAlign w:val="center"/>
          </w:tcPr>
          <w:p w:rsidR="008859C0" w:rsidRPr="007A074E" w:rsidRDefault="008859C0" w:rsidP="00D47AF4">
            <w:pPr>
              <w:jc w:val="center"/>
              <w:rPr>
                <w:lang w:val="uk-UA"/>
              </w:rPr>
            </w:pPr>
            <w:r w:rsidRPr="007A074E">
              <w:rPr>
                <w:lang w:val="uk-UA"/>
              </w:rPr>
              <w:t>Відповіді на питання</w:t>
            </w:r>
          </w:p>
        </w:tc>
        <w:tc>
          <w:tcPr>
            <w:tcW w:w="0" w:type="auto"/>
            <w:vMerge w:val="restart"/>
            <w:vAlign w:val="center"/>
          </w:tcPr>
          <w:p w:rsidR="008859C0" w:rsidRPr="007A074E" w:rsidRDefault="008859C0" w:rsidP="00D47AF4">
            <w:pPr>
              <w:jc w:val="center"/>
              <w:rPr>
                <w:bCs/>
                <w:lang w:val="uk-UA"/>
              </w:rPr>
            </w:pPr>
            <w:r w:rsidRPr="007A074E">
              <w:rPr>
                <w:lang w:val="uk-UA"/>
              </w:rPr>
              <w:t>Нормативне обґрунтування</w:t>
            </w:r>
          </w:p>
        </w:tc>
      </w:tr>
      <w:tr w:rsidR="008859C0" w:rsidRPr="007A074E" w:rsidTr="008C381D">
        <w:trPr>
          <w:cantSplit/>
          <w:trHeight w:val="1888"/>
        </w:trPr>
        <w:tc>
          <w:tcPr>
            <w:tcW w:w="0" w:type="auto"/>
            <w:vMerge/>
            <w:tcBorders>
              <w:bottom w:val="nil"/>
            </w:tcBorders>
          </w:tcPr>
          <w:p w:rsidR="008859C0" w:rsidRPr="007A074E" w:rsidRDefault="008859C0" w:rsidP="00D47AF4">
            <w:pPr>
              <w:rPr>
                <w:lang w:val="uk-UA"/>
              </w:rPr>
            </w:pPr>
          </w:p>
        </w:tc>
        <w:tc>
          <w:tcPr>
            <w:tcW w:w="0" w:type="auto"/>
            <w:vMerge/>
            <w:tcBorders>
              <w:bottom w:val="nil"/>
            </w:tcBorders>
            <w:vAlign w:val="center"/>
          </w:tcPr>
          <w:p w:rsidR="008859C0" w:rsidRPr="007A074E" w:rsidRDefault="008859C0" w:rsidP="00D47AF4">
            <w:pPr>
              <w:jc w:val="both"/>
              <w:rPr>
                <w:bCs/>
                <w:lang w:val="uk-UA"/>
              </w:rPr>
            </w:pPr>
          </w:p>
        </w:tc>
        <w:tc>
          <w:tcPr>
            <w:tcW w:w="0" w:type="auto"/>
            <w:vMerge/>
            <w:tcBorders>
              <w:bottom w:val="nil"/>
            </w:tcBorders>
          </w:tcPr>
          <w:p w:rsidR="008859C0" w:rsidRPr="007A074E" w:rsidRDefault="008859C0" w:rsidP="00D47AF4">
            <w:pPr>
              <w:rPr>
                <w:lang w:val="uk-UA"/>
              </w:rPr>
            </w:pPr>
          </w:p>
        </w:tc>
        <w:tc>
          <w:tcPr>
            <w:tcW w:w="0" w:type="auto"/>
            <w:textDirection w:val="btLr"/>
            <w:vAlign w:val="center"/>
          </w:tcPr>
          <w:p w:rsidR="008859C0" w:rsidRPr="007A074E" w:rsidRDefault="008859C0" w:rsidP="00D47AF4">
            <w:pPr>
              <w:ind w:left="113" w:right="113"/>
              <w:rPr>
                <w:lang w:val="uk-UA"/>
              </w:rPr>
            </w:pPr>
            <w:r w:rsidRPr="007A074E">
              <w:rPr>
                <w:lang w:val="uk-UA"/>
              </w:rPr>
              <w:t>так</w:t>
            </w:r>
          </w:p>
        </w:tc>
        <w:tc>
          <w:tcPr>
            <w:tcW w:w="0" w:type="auto"/>
            <w:textDirection w:val="btLr"/>
            <w:vAlign w:val="center"/>
          </w:tcPr>
          <w:p w:rsidR="008859C0" w:rsidRPr="007A074E" w:rsidRDefault="008859C0" w:rsidP="00D47AF4">
            <w:pPr>
              <w:ind w:left="113" w:right="113"/>
              <w:rPr>
                <w:lang w:val="uk-UA"/>
              </w:rPr>
            </w:pPr>
            <w:r w:rsidRPr="007A074E">
              <w:rPr>
                <w:lang w:val="uk-UA"/>
              </w:rPr>
              <w:t>ні</w:t>
            </w:r>
          </w:p>
        </w:tc>
        <w:tc>
          <w:tcPr>
            <w:tcW w:w="0" w:type="auto"/>
            <w:textDirection w:val="btLr"/>
            <w:vAlign w:val="center"/>
          </w:tcPr>
          <w:p w:rsidR="008859C0" w:rsidRPr="007A074E" w:rsidRDefault="008859C0" w:rsidP="00D47AF4">
            <w:pPr>
              <w:ind w:left="113" w:right="113"/>
              <w:rPr>
                <w:lang w:val="uk-UA"/>
              </w:rPr>
            </w:pPr>
            <w:r w:rsidRPr="007A074E">
              <w:rPr>
                <w:lang w:val="uk-UA"/>
              </w:rPr>
              <w:t>не розглядалося</w:t>
            </w:r>
          </w:p>
        </w:tc>
        <w:tc>
          <w:tcPr>
            <w:tcW w:w="0" w:type="auto"/>
            <w:vMerge/>
            <w:tcBorders>
              <w:bottom w:val="nil"/>
            </w:tcBorders>
            <w:vAlign w:val="center"/>
          </w:tcPr>
          <w:p w:rsidR="008859C0" w:rsidRPr="007A074E" w:rsidRDefault="008859C0" w:rsidP="00D47AF4">
            <w:pPr>
              <w:rPr>
                <w:lang w:val="uk-UA"/>
              </w:rPr>
            </w:pPr>
          </w:p>
        </w:tc>
      </w:tr>
      <w:tr w:rsidR="008859C0" w:rsidRPr="007A074E" w:rsidTr="008C381D">
        <w:tc>
          <w:tcPr>
            <w:tcW w:w="0" w:type="auto"/>
            <w:gridSpan w:val="7"/>
            <w:vAlign w:val="center"/>
          </w:tcPr>
          <w:p w:rsidR="008859C0" w:rsidRPr="007A074E" w:rsidRDefault="008859C0" w:rsidP="00D47AF4">
            <w:pPr>
              <w:jc w:val="center"/>
              <w:rPr>
                <w:lang w:val="uk-UA"/>
              </w:rPr>
            </w:pPr>
            <w:r w:rsidRPr="007A074E">
              <w:rPr>
                <w:lang w:val="uk-UA"/>
              </w:rPr>
              <w:t>1. Організаційні вимоги  до провадження господарської діяльності</w:t>
            </w:r>
          </w:p>
        </w:tc>
      </w:tr>
      <w:tr w:rsidR="008859C0" w:rsidRPr="00437545" w:rsidTr="008C381D">
        <w:tc>
          <w:tcPr>
            <w:tcW w:w="0" w:type="auto"/>
          </w:tcPr>
          <w:p w:rsidR="008859C0" w:rsidRPr="007A074E" w:rsidRDefault="008859C0" w:rsidP="00D47AF4">
            <w:pPr>
              <w:rPr>
                <w:lang w:val="uk-UA"/>
              </w:rPr>
            </w:pPr>
            <w:r w:rsidRPr="007A074E">
              <w:rPr>
                <w:lang w:val="uk-UA"/>
              </w:rPr>
              <w:t>1.1</w:t>
            </w:r>
          </w:p>
        </w:tc>
        <w:tc>
          <w:tcPr>
            <w:tcW w:w="0" w:type="auto"/>
          </w:tcPr>
          <w:p w:rsidR="008859C0" w:rsidRPr="007A074E" w:rsidRDefault="008859C0" w:rsidP="00D47AF4">
            <w:pPr>
              <w:jc w:val="both"/>
              <w:rPr>
                <w:lang w:val="uk-UA"/>
              </w:rPr>
            </w:pPr>
            <w:r w:rsidRPr="007A074E">
              <w:rPr>
                <w:lang w:val="uk-UA"/>
              </w:rPr>
              <w:t>Забезпечено (за відсутності передбачених законодавством підстав для відмови у проведенні перевірки) допуск членів комісії з перевірки до її здійснення та присутність керівника ліцензіата, його заступника або іншої уповноваженої особи під час проведення НКРЕКП перевірки дотримання ліцензіатом вимог цих Ліцензійних умов та нормативно-правових актів, що регулюють функціонування ринку природного газу</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bCs/>
                <w:lang w:val="uk-UA"/>
              </w:rPr>
            </w:pPr>
            <w:r w:rsidRPr="007A074E">
              <w:rPr>
                <w:lang w:val="uk-UA"/>
              </w:rPr>
              <w:t>підпункт 10 пункту 2.2 глави 2 Ліцензійних умов провадження господарської діяльності з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16 лютого 2017 року № 201 (далі – Ліцензійні умови)</w:t>
            </w:r>
          </w:p>
        </w:tc>
      </w:tr>
      <w:tr w:rsidR="008859C0" w:rsidRPr="007A074E" w:rsidTr="008C381D">
        <w:tc>
          <w:tcPr>
            <w:tcW w:w="0" w:type="auto"/>
          </w:tcPr>
          <w:p w:rsidR="008859C0" w:rsidRPr="007A074E" w:rsidRDefault="008859C0" w:rsidP="00D47AF4">
            <w:pPr>
              <w:rPr>
                <w:lang w:val="uk-UA"/>
              </w:rPr>
            </w:pPr>
            <w:r w:rsidRPr="007A074E">
              <w:rPr>
                <w:lang w:val="uk-UA"/>
              </w:rPr>
              <w:t>1.2</w:t>
            </w:r>
          </w:p>
        </w:tc>
        <w:tc>
          <w:tcPr>
            <w:tcW w:w="0" w:type="auto"/>
          </w:tcPr>
          <w:p w:rsidR="008859C0" w:rsidRPr="007A074E" w:rsidRDefault="008859C0" w:rsidP="005A63E9">
            <w:pPr>
              <w:jc w:val="both"/>
              <w:rPr>
                <w:lang w:val="uk-UA"/>
              </w:rPr>
            </w:pPr>
            <w:r w:rsidRPr="007A074E">
              <w:rPr>
                <w:lang w:val="uk-UA"/>
              </w:rPr>
              <w:t>Забезпечен</w:t>
            </w:r>
            <w:r>
              <w:rPr>
                <w:lang w:val="uk-UA"/>
              </w:rPr>
              <w:t>о</w:t>
            </w:r>
            <w:r w:rsidRPr="007A074E">
              <w:rPr>
                <w:lang w:val="uk-UA"/>
              </w:rPr>
              <w:t xml:space="preserve"> функціонування та підтримання на належному рівні </w:t>
            </w:r>
            <w:r w:rsidRPr="007A074E">
              <w:rPr>
                <w:lang w:val="uk-UA"/>
              </w:rPr>
              <w:lastRenderedPageBreak/>
              <w:t>персонального вебсайту у мережі Інтернет</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bCs/>
                <w:lang w:val="uk-UA"/>
              </w:rPr>
            </w:pPr>
            <w:r w:rsidRPr="007A074E">
              <w:rPr>
                <w:lang w:val="uk-UA"/>
              </w:rPr>
              <w:t xml:space="preserve">підпункт 1 пункту 2.2 глави 2 </w:t>
            </w:r>
            <w:r w:rsidRPr="007A074E">
              <w:rPr>
                <w:lang w:val="uk-UA"/>
              </w:rPr>
              <w:lastRenderedPageBreak/>
              <w:t>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lastRenderedPageBreak/>
              <w:t>1.3</w:t>
            </w:r>
          </w:p>
        </w:tc>
        <w:tc>
          <w:tcPr>
            <w:tcW w:w="0" w:type="auto"/>
          </w:tcPr>
          <w:p w:rsidR="008859C0" w:rsidRPr="007A074E" w:rsidRDefault="008859C0" w:rsidP="005A63E9">
            <w:pPr>
              <w:jc w:val="both"/>
              <w:rPr>
                <w:lang w:val="uk-UA"/>
              </w:rPr>
            </w:pPr>
            <w:r>
              <w:rPr>
                <w:lang w:val="uk-UA"/>
              </w:rPr>
              <w:t>С</w:t>
            </w:r>
            <w:r w:rsidRPr="007A074E">
              <w:rPr>
                <w:lang w:val="uk-UA"/>
              </w:rPr>
              <w:t xml:space="preserve">творено точки контакту (які можуть </w:t>
            </w:r>
            <w:r>
              <w:rPr>
                <w:lang w:val="uk-UA"/>
              </w:rPr>
              <w:t>бути розташовані</w:t>
            </w:r>
            <w:r w:rsidRPr="007A074E">
              <w:rPr>
                <w:lang w:val="uk-UA"/>
              </w:rPr>
              <w:t xml:space="preserve"> за місцезнаходженням ліцензіата) для надання інформації споживачам стосовно, зокрема, їх прав, чинного законодавства та наявних способів для вирішення спорів. Контактні дані і режим роботи кожної контактної точки повинні бути передбачені </w:t>
            </w:r>
            <w:r>
              <w:rPr>
                <w:lang w:val="uk-UA"/>
              </w:rPr>
              <w:t>в</w:t>
            </w:r>
            <w:r w:rsidRPr="007A074E">
              <w:rPr>
                <w:lang w:val="uk-UA"/>
              </w:rPr>
              <w:t xml:space="preserve"> договорі постачання природного газу і на сайті ліцензіата</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bCs/>
                <w:lang w:val="uk-UA"/>
              </w:rPr>
            </w:pPr>
            <w:r w:rsidRPr="007A074E">
              <w:rPr>
                <w:lang w:val="uk-UA"/>
              </w:rPr>
              <w:t>підпункт 2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1.4</w:t>
            </w:r>
          </w:p>
        </w:tc>
        <w:tc>
          <w:tcPr>
            <w:tcW w:w="0" w:type="auto"/>
          </w:tcPr>
          <w:p w:rsidR="008859C0" w:rsidRPr="007A074E" w:rsidRDefault="008859C0" w:rsidP="005A63E9">
            <w:pPr>
              <w:jc w:val="both"/>
              <w:rPr>
                <w:lang w:val="uk-UA" w:eastAsia="uk-UA"/>
              </w:rPr>
            </w:pPr>
            <w:r w:rsidRPr="007A074E">
              <w:rPr>
                <w:bCs/>
                <w:lang w:val="uk-UA"/>
              </w:rPr>
              <w:t>Ліцензіатом у разі укладання договору постачання природного газу із побутовим споживачем забезпечується наявність особистого кабінету споживача на влас</w:t>
            </w:r>
            <w:r>
              <w:rPr>
                <w:bCs/>
                <w:lang w:val="uk-UA"/>
              </w:rPr>
              <w:t xml:space="preserve">ному вебсайті, що має містити </w:t>
            </w:r>
            <w:r w:rsidRPr="007A074E">
              <w:rPr>
                <w:bCs/>
                <w:lang w:val="uk-UA"/>
              </w:rPr>
              <w:t>персоніфіковані дані споживача, статистичні дані про ціни та нарахування, сплату за договором постачання природного газу та іншу інформацію, пов'язану з виконанням зазначеного договору</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3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1.5</w:t>
            </w:r>
          </w:p>
        </w:tc>
        <w:tc>
          <w:tcPr>
            <w:tcW w:w="0" w:type="auto"/>
          </w:tcPr>
          <w:p w:rsidR="008859C0" w:rsidRPr="007A074E" w:rsidRDefault="008859C0" w:rsidP="00D47AF4">
            <w:pPr>
              <w:jc w:val="both"/>
              <w:rPr>
                <w:lang w:val="uk-UA"/>
              </w:rPr>
            </w:pPr>
            <w:r w:rsidRPr="007A074E">
              <w:rPr>
                <w:bCs/>
                <w:lang w:val="uk-UA"/>
              </w:rPr>
              <w:t>Ліцензіатом організовано та забезпечено доступ до точки контакту для здійснення реєстрації вхідної кореспон</w:t>
            </w:r>
            <w:r>
              <w:rPr>
                <w:bCs/>
                <w:lang w:val="uk-UA"/>
              </w:rPr>
              <w:t>денції</w:t>
            </w:r>
            <w:r w:rsidRPr="007A074E">
              <w:rPr>
                <w:bCs/>
                <w:lang w:val="uk-UA"/>
              </w:rPr>
              <w:t xml:space="preserve"> з можливістю отримання вхідного номера на момент подання вхідної кореспонденції</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4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1.6</w:t>
            </w:r>
          </w:p>
        </w:tc>
        <w:tc>
          <w:tcPr>
            <w:tcW w:w="0" w:type="auto"/>
          </w:tcPr>
          <w:p w:rsidR="008859C0" w:rsidRPr="007A074E" w:rsidRDefault="008859C0" w:rsidP="00D47AF4">
            <w:pPr>
              <w:tabs>
                <w:tab w:val="left" w:pos="0"/>
                <w:tab w:val="left" w:pos="1080"/>
                <w:tab w:val="left" w:pos="1134"/>
              </w:tabs>
              <w:jc w:val="both"/>
              <w:rPr>
                <w:bCs/>
                <w:lang w:val="uk-UA"/>
              </w:rPr>
            </w:pPr>
            <w:r w:rsidRPr="007A074E">
              <w:rPr>
                <w:bCs/>
                <w:lang w:val="uk-UA"/>
              </w:rPr>
              <w:t>Ліцензіатом зберігаються документи, копії яких подавалися до НКРЕКП відповідно до вимог законодавства України</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5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1.7</w:t>
            </w:r>
          </w:p>
        </w:tc>
        <w:tc>
          <w:tcPr>
            <w:tcW w:w="0" w:type="auto"/>
          </w:tcPr>
          <w:p w:rsidR="008859C0" w:rsidRPr="007A074E" w:rsidRDefault="008859C0" w:rsidP="005275BA">
            <w:pPr>
              <w:tabs>
                <w:tab w:val="left" w:pos="0"/>
                <w:tab w:val="left" w:pos="1080"/>
                <w:tab w:val="left" w:pos="1134"/>
              </w:tabs>
              <w:jc w:val="both"/>
              <w:rPr>
                <w:lang w:val="uk-UA"/>
              </w:rPr>
            </w:pPr>
            <w:r w:rsidRPr="007A074E">
              <w:rPr>
                <w:lang w:val="uk-UA"/>
              </w:rPr>
              <w:t>Повідомлен</w:t>
            </w:r>
            <w:r>
              <w:rPr>
                <w:lang w:val="uk-UA"/>
              </w:rPr>
              <w:t>о</w:t>
            </w:r>
            <w:r w:rsidRPr="007A074E">
              <w:rPr>
                <w:lang w:val="uk-UA"/>
              </w:rPr>
              <w:t xml:space="preserve"> НКРЕКП про всі зміни даних, зазначених у документах, що мають додаватися до заяви про отримання ліцензії </w:t>
            </w:r>
            <w:r>
              <w:rPr>
                <w:lang w:val="uk-UA"/>
              </w:rPr>
              <w:t>П</w:t>
            </w:r>
            <w:r w:rsidRPr="007A074E">
              <w:rPr>
                <w:lang w:val="uk-UA"/>
              </w:rPr>
              <w:t>ода</w:t>
            </w:r>
            <w:r>
              <w:rPr>
                <w:lang w:val="uk-UA"/>
              </w:rPr>
              <w:t>но</w:t>
            </w:r>
            <w:r w:rsidRPr="007A074E">
              <w:rPr>
                <w:lang w:val="uk-UA"/>
              </w:rPr>
              <w:t xml:space="preserve"> до НКРЕКП відповідне повідомлення </w:t>
            </w:r>
            <w:r>
              <w:rPr>
                <w:lang w:val="uk-UA"/>
              </w:rPr>
              <w:t>у</w:t>
            </w:r>
            <w:r w:rsidRPr="007A074E">
              <w:rPr>
                <w:lang w:val="uk-UA"/>
              </w:rPr>
              <w:t xml:space="preserve"> письмовій формі</w:t>
            </w:r>
            <w:r>
              <w:rPr>
                <w:lang w:val="uk-UA"/>
              </w:rPr>
              <w:t xml:space="preserve"> у</w:t>
            </w:r>
            <w:r w:rsidRPr="007A074E">
              <w:rPr>
                <w:lang w:val="uk-UA"/>
              </w:rPr>
              <w:t xml:space="preserve"> разі виникнення таких змін протягом одного місяця з дня їх настання</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bCs/>
                <w:lang w:val="uk-UA"/>
              </w:rPr>
            </w:pPr>
            <w:r w:rsidRPr="007A074E">
              <w:rPr>
                <w:lang w:val="uk-UA"/>
              </w:rPr>
              <w:t>підпункт 6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1.8</w:t>
            </w:r>
          </w:p>
        </w:tc>
        <w:tc>
          <w:tcPr>
            <w:tcW w:w="0" w:type="auto"/>
          </w:tcPr>
          <w:p w:rsidR="008859C0" w:rsidRPr="007A074E" w:rsidRDefault="008859C0" w:rsidP="00D47AF4">
            <w:pPr>
              <w:jc w:val="both"/>
              <w:rPr>
                <w:lang w:val="uk-UA"/>
              </w:rPr>
            </w:pPr>
            <w:r w:rsidRPr="007A074E">
              <w:rPr>
                <w:bCs/>
                <w:lang w:val="uk-UA"/>
              </w:rPr>
              <w:t xml:space="preserve">Провадження ліцензованої діяльності виключно з використанням засобів провадження господарської діяльності, що зазначені у відомостях про них, які подані до НКРЕКП згідно з вимогами цих Ліцензійних умов </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bCs/>
                <w:lang w:val="uk-UA"/>
              </w:rPr>
            </w:pPr>
            <w:r w:rsidRPr="007A074E">
              <w:rPr>
                <w:lang w:val="uk-UA"/>
              </w:rPr>
              <w:t>підпункт 7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lastRenderedPageBreak/>
              <w:t>1.9</w:t>
            </w:r>
          </w:p>
        </w:tc>
        <w:tc>
          <w:tcPr>
            <w:tcW w:w="0" w:type="auto"/>
          </w:tcPr>
          <w:p w:rsidR="008859C0" w:rsidRPr="007A074E" w:rsidRDefault="008859C0" w:rsidP="00D47AF4">
            <w:pPr>
              <w:jc w:val="both"/>
              <w:rPr>
                <w:bCs/>
                <w:lang w:val="uk-UA"/>
              </w:rPr>
            </w:pPr>
            <w:r w:rsidRPr="007A074E">
              <w:rPr>
                <w:bCs/>
                <w:lang w:val="uk-UA"/>
              </w:rPr>
              <w:t>Ліцензіатом забезпечено якість комерційних послуг, які надаються споживачам,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між постачальником і споживачем,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8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1.10</w:t>
            </w:r>
          </w:p>
        </w:tc>
        <w:tc>
          <w:tcPr>
            <w:tcW w:w="0" w:type="auto"/>
          </w:tcPr>
          <w:p w:rsidR="008859C0" w:rsidRPr="007A074E" w:rsidRDefault="008859C0" w:rsidP="00D47AF4">
            <w:pPr>
              <w:jc w:val="both"/>
              <w:rPr>
                <w:bCs/>
                <w:lang w:val="uk-UA"/>
              </w:rPr>
            </w:pPr>
            <w:r w:rsidRPr="007A074E">
              <w:rPr>
                <w:bCs/>
                <w:lang w:val="uk-UA"/>
              </w:rPr>
              <w:t>Ліцензіат у разі планового або позапланового припинення провадження ліцензованої діяльності загалом або за певним місцем провадження ліцензованої діяльності  повідомляє сторону, з якою укладено договір постачання природного газу, у встановлений договором строк про дату і причини припинення ліцензованої діяльності із визначенням приблизної дати відновлення її провадження</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9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1.11</w:t>
            </w:r>
          </w:p>
        </w:tc>
        <w:tc>
          <w:tcPr>
            <w:tcW w:w="0" w:type="auto"/>
          </w:tcPr>
          <w:p w:rsidR="008859C0" w:rsidRPr="007A074E" w:rsidRDefault="008859C0" w:rsidP="00D47AF4">
            <w:pPr>
              <w:jc w:val="both"/>
              <w:rPr>
                <w:bCs/>
                <w:lang w:val="uk-UA"/>
              </w:rPr>
            </w:pPr>
            <w:r w:rsidRPr="007A074E">
              <w:rPr>
                <w:bCs/>
                <w:lang w:val="uk-UA"/>
              </w:rPr>
              <w:t>Здійснення постачання природного газу на підставі договорів постачання природного газу, що укладаються зі споживачами, у тому числі побутовими споживачами</w:t>
            </w:r>
            <w:r>
              <w:rPr>
                <w:bCs/>
                <w:lang w:val="uk-UA"/>
              </w:rPr>
              <w:t>,</w:t>
            </w:r>
            <w:r w:rsidRPr="007A074E">
              <w:rPr>
                <w:bCs/>
                <w:lang w:val="uk-UA"/>
              </w:rPr>
              <w:t xml:space="preserve"> відповідно до вимог статті 12 Закону України «Про ринок природного газу» та чинних Правил постачання природного газу</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11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1.12</w:t>
            </w:r>
          </w:p>
        </w:tc>
        <w:tc>
          <w:tcPr>
            <w:tcW w:w="0" w:type="auto"/>
          </w:tcPr>
          <w:p w:rsidR="008859C0" w:rsidRPr="007A074E" w:rsidRDefault="008859C0" w:rsidP="00D47AF4">
            <w:pPr>
              <w:jc w:val="both"/>
              <w:rPr>
                <w:bCs/>
                <w:lang w:val="uk-UA"/>
              </w:rPr>
            </w:pPr>
            <w:r w:rsidRPr="007A074E">
              <w:rPr>
                <w:bCs/>
                <w:lang w:val="uk-UA"/>
              </w:rPr>
              <w:t>Здійснення постачання природного газу за цінами, що вільно встановлюються між постачальником та споживачем, крім випадків, передбачених законодавством України</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12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1.13</w:t>
            </w:r>
          </w:p>
        </w:tc>
        <w:tc>
          <w:tcPr>
            <w:tcW w:w="0" w:type="auto"/>
          </w:tcPr>
          <w:p w:rsidR="008859C0" w:rsidRPr="007A074E" w:rsidRDefault="008859C0" w:rsidP="00D47AF4">
            <w:pPr>
              <w:jc w:val="both"/>
              <w:rPr>
                <w:bCs/>
                <w:lang w:val="uk-UA"/>
              </w:rPr>
            </w:pPr>
            <w:r w:rsidRPr="007A074E">
              <w:rPr>
                <w:bCs/>
                <w:lang w:val="uk-UA"/>
              </w:rPr>
              <w:t>Виконання умов (вимог) чинних Правил постачання природного газу, що затверджуються НКРЕКП, а також договорів постачання природного газу</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13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1.14</w:t>
            </w:r>
          </w:p>
        </w:tc>
        <w:tc>
          <w:tcPr>
            <w:tcW w:w="0" w:type="auto"/>
          </w:tcPr>
          <w:p w:rsidR="008859C0" w:rsidRPr="007A074E" w:rsidRDefault="008859C0" w:rsidP="00D47AF4">
            <w:pPr>
              <w:jc w:val="both"/>
              <w:rPr>
                <w:bCs/>
                <w:lang w:val="uk-UA"/>
              </w:rPr>
            </w:pPr>
            <w:r w:rsidRPr="007A074E">
              <w:rPr>
                <w:bCs/>
                <w:lang w:val="uk-UA"/>
              </w:rPr>
              <w:t xml:space="preserve">Ліцензіатом у разі прийняття НКРЕКП рішення про усунення порушень вимог Ліцензійних умов подано в установлений у рішенні строк до НКРЕКП інформацію про усунення зазначених у такому </w:t>
            </w:r>
            <w:r w:rsidRPr="007A074E">
              <w:rPr>
                <w:bCs/>
                <w:lang w:val="uk-UA"/>
              </w:rPr>
              <w:lastRenderedPageBreak/>
              <w:t xml:space="preserve">рішенні порушень із наданням копій підтвердних документів </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14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lastRenderedPageBreak/>
              <w:t>1.15</w:t>
            </w:r>
          </w:p>
        </w:tc>
        <w:tc>
          <w:tcPr>
            <w:tcW w:w="0" w:type="auto"/>
          </w:tcPr>
          <w:p w:rsidR="008859C0" w:rsidRPr="007A074E" w:rsidRDefault="008859C0" w:rsidP="00D47AF4">
            <w:pPr>
              <w:jc w:val="both"/>
              <w:rPr>
                <w:bCs/>
                <w:lang w:val="uk-UA"/>
              </w:rPr>
            </w:pPr>
            <w:r w:rsidRPr="007A074E">
              <w:rPr>
                <w:bCs/>
                <w:lang w:val="uk-UA"/>
              </w:rPr>
              <w:t>Дотримання вимог статті 14 Закону України «Про ринок природного газу» щодо реалізації права споживачів на зміну постачальника та порядку зміни постачальника, встановленого Правилами постачання природного газу</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15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1.16</w:t>
            </w:r>
          </w:p>
        </w:tc>
        <w:tc>
          <w:tcPr>
            <w:tcW w:w="0" w:type="auto"/>
          </w:tcPr>
          <w:p w:rsidR="008859C0" w:rsidRPr="007A074E" w:rsidRDefault="008859C0" w:rsidP="00D47AF4">
            <w:pPr>
              <w:jc w:val="both"/>
              <w:rPr>
                <w:bCs/>
                <w:lang w:val="uk-UA"/>
              </w:rPr>
            </w:pPr>
            <w:r w:rsidRPr="007A074E">
              <w:rPr>
                <w:bCs/>
                <w:lang w:val="uk-UA"/>
              </w:rPr>
              <w:t>Здійснення постачання природного газу споживачам за умови наявності у споживача договору розподілу природного газу (якщо об'єкт споживача підключений до газорозподільної системи) або договору транспортування природного газу (якщо об'єкт споживача підключений до газотранспортної системи), укладеного в установленому порядку між споживачем та Оператором газорозподільної/газотранспортної системи</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16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1.17</w:t>
            </w:r>
          </w:p>
        </w:tc>
        <w:tc>
          <w:tcPr>
            <w:tcW w:w="0" w:type="auto"/>
          </w:tcPr>
          <w:p w:rsidR="008859C0" w:rsidRPr="007A074E" w:rsidRDefault="008859C0" w:rsidP="00D47AF4">
            <w:pPr>
              <w:jc w:val="both"/>
              <w:rPr>
                <w:bCs/>
                <w:lang w:val="uk-UA"/>
              </w:rPr>
            </w:pPr>
            <w:r w:rsidRPr="007A074E">
              <w:rPr>
                <w:bCs/>
                <w:lang w:val="uk-UA"/>
              </w:rPr>
              <w:t>Ведення окремого обліку за ліцензованим видом діяльності та затвердження правил розподілу активів і зобов'язань, доходів та витрат між ліцензованим та іншими видами господарської діяльності</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17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1.18</w:t>
            </w:r>
          </w:p>
        </w:tc>
        <w:tc>
          <w:tcPr>
            <w:tcW w:w="0" w:type="auto"/>
          </w:tcPr>
          <w:p w:rsidR="008859C0" w:rsidRPr="007A074E" w:rsidRDefault="008859C0" w:rsidP="00D47AF4">
            <w:pPr>
              <w:jc w:val="both"/>
              <w:rPr>
                <w:bCs/>
                <w:lang w:val="uk-UA"/>
              </w:rPr>
            </w:pPr>
            <w:r w:rsidRPr="007A074E">
              <w:rPr>
                <w:bCs/>
                <w:lang w:val="uk-UA"/>
              </w:rPr>
              <w:t>Складання звітності, затвердженої НКРЕКП, щодо провадження господарської діяльності з постачання природного газу та подання її до НКРЕКП у встановленому порядку</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18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1.19</w:t>
            </w:r>
          </w:p>
        </w:tc>
        <w:tc>
          <w:tcPr>
            <w:tcW w:w="0" w:type="auto"/>
          </w:tcPr>
          <w:p w:rsidR="008859C0" w:rsidRPr="007A074E" w:rsidRDefault="008859C0" w:rsidP="005275BA">
            <w:pPr>
              <w:jc w:val="both"/>
              <w:rPr>
                <w:bCs/>
                <w:lang w:val="uk-UA"/>
              </w:rPr>
            </w:pPr>
            <w:r w:rsidRPr="007A074E">
              <w:rPr>
                <w:bCs/>
                <w:lang w:val="uk-UA"/>
              </w:rPr>
              <w:t>Подан</w:t>
            </w:r>
            <w:r>
              <w:rPr>
                <w:bCs/>
                <w:lang w:val="uk-UA"/>
              </w:rPr>
              <w:t>о</w:t>
            </w:r>
            <w:r w:rsidRPr="007A074E">
              <w:rPr>
                <w:bCs/>
                <w:lang w:val="uk-UA"/>
              </w:rPr>
              <w:t xml:space="preserve"> </w:t>
            </w:r>
            <w:r>
              <w:rPr>
                <w:bCs/>
                <w:lang w:val="uk-UA"/>
              </w:rPr>
              <w:t xml:space="preserve">до </w:t>
            </w:r>
            <w:r w:rsidRPr="007A074E">
              <w:rPr>
                <w:bCs/>
                <w:lang w:val="uk-UA"/>
              </w:rPr>
              <w:t>НКРЕКП копі</w:t>
            </w:r>
            <w:r>
              <w:rPr>
                <w:bCs/>
                <w:lang w:val="uk-UA"/>
              </w:rPr>
              <w:t>ї</w:t>
            </w:r>
            <w:r w:rsidRPr="007A074E">
              <w:rPr>
                <w:bCs/>
                <w:lang w:val="uk-UA"/>
              </w:rPr>
              <w:t xml:space="preserve"> річної фінансової звітності у встановленому законодавством порядку</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19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1.20</w:t>
            </w:r>
          </w:p>
        </w:tc>
        <w:tc>
          <w:tcPr>
            <w:tcW w:w="0" w:type="auto"/>
          </w:tcPr>
          <w:p w:rsidR="008859C0" w:rsidRPr="007A074E" w:rsidRDefault="008859C0" w:rsidP="00D47AF4">
            <w:pPr>
              <w:jc w:val="both"/>
              <w:rPr>
                <w:bCs/>
                <w:lang w:val="uk-UA"/>
              </w:rPr>
            </w:pPr>
            <w:r w:rsidRPr="007A074E">
              <w:rPr>
                <w:bCs/>
                <w:lang w:val="uk-UA"/>
              </w:rPr>
              <w:t>Сплата щоквартально, протягом перших 30 днів кварталу, наступного за звітним, внесків на регулювання, що визначаються НКРЕКП</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20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1.21</w:t>
            </w:r>
          </w:p>
        </w:tc>
        <w:tc>
          <w:tcPr>
            <w:tcW w:w="0" w:type="auto"/>
          </w:tcPr>
          <w:p w:rsidR="008859C0" w:rsidRPr="007A074E" w:rsidRDefault="008859C0" w:rsidP="00D47AF4">
            <w:pPr>
              <w:jc w:val="both"/>
              <w:rPr>
                <w:bCs/>
                <w:lang w:val="uk-UA"/>
              </w:rPr>
            </w:pPr>
            <w:r w:rsidRPr="007A074E">
              <w:rPr>
                <w:bCs/>
                <w:lang w:val="uk-UA"/>
              </w:rPr>
              <w:t>Виконання рішень НКРЕКП, прийнятих відповідно до порядку розгляду скарг на дії суб'єктів ринку природного газу (крім споживачів) і вирішення спорів між суб'єктами ринку природного газу, що затверджується НКРЕКП</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21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lastRenderedPageBreak/>
              <w:t>1.22</w:t>
            </w:r>
          </w:p>
        </w:tc>
        <w:tc>
          <w:tcPr>
            <w:tcW w:w="0" w:type="auto"/>
          </w:tcPr>
          <w:p w:rsidR="008859C0" w:rsidRPr="007A074E" w:rsidRDefault="008859C0" w:rsidP="00D47AF4">
            <w:pPr>
              <w:jc w:val="both"/>
              <w:rPr>
                <w:bCs/>
                <w:lang w:val="uk-UA"/>
              </w:rPr>
            </w:pPr>
            <w:r w:rsidRPr="007A074E">
              <w:rPr>
                <w:bCs/>
                <w:lang w:val="uk-UA"/>
              </w:rPr>
              <w:t>Здійснення розрахунків із оператором газотранспортної системи за надані послуги транспортування у строки та на умовах, визначених договором транспортування природного газу</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22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1.23</w:t>
            </w:r>
          </w:p>
        </w:tc>
        <w:tc>
          <w:tcPr>
            <w:tcW w:w="0" w:type="auto"/>
          </w:tcPr>
          <w:p w:rsidR="008859C0" w:rsidRPr="007A074E" w:rsidRDefault="008859C0" w:rsidP="005275BA">
            <w:pPr>
              <w:jc w:val="both"/>
              <w:rPr>
                <w:bCs/>
                <w:lang w:val="uk-UA"/>
              </w:rPr>
            </w:pPr>
            <w:r w:rsidRPr="007A074E">
              <w:rPr>
                <w:bCs/>
                <w:lang w:val="uk-UA"/>
              </w:rPr>
              <w:t>Надан</w:t>
            </w:r>
            <w:r>
              <w:rPr>
                <w:bCs/>
                <w:lang w:val="uk-UA"/>
              </w:rPr>
              <w:t>о до НКРЕКП документи</w:t>
            </w:r>
            <w:r w:rsidRPr="007A074E">
              <w:rPr>
                <w:bCs/>
                <w:lang w:val="uk-UA"/>
              </w:rPr>
              <w:t xml:space="preserve">, інформацію та звітність, що </w:t>
            </w:r>
            <w:r w:rsidRPr="005275BA">
              <w:rPr>
                <w:bCs/>
                <w:lang w:val="uk-UA"/>
              </w:rPr>
              <w:t>містять достовірні дані, необхідних для виконання НКРЕКП своїх повноважень, в обсягах та у строки</w:t>
            </w:r>
            <w:r w:rsidRPr="007A074E">
              <w:rPr>
                <w:bCs/>
                <w:lang w:val="uk-UA"/>
              </w:rPr>
              <w:t>, встановлен</w:t>
            </w:r>
            <w:r>
              <w:rPr>
                <w:bCs/>
                <w:lang w:val="uk-UA"/>
              </w:rPr>
              <w:t>і</w:t>
            </w:r>
            <w:r w:rsidRPr="007A074E">
              <w:rPr>
                <w:bCs/>
                <w:lang w:val="uk-UA"/>
              </w:rPr>
              <w:t xml:space="preserve"> НКРЕКП (але не менш як протягом 10 робочих днів, крім запитів під час здійснення заходів державного нагляду (контролю))</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23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1.24</w:t>
            </w:r>
          </w:p>
        </w:tc>
        <w:tc>
          <w:tcPr>
            <w:tcW w:w="0" w:type="auto"/>
          </w:tcPr>
          <w:p w:rsidR="008859C0" w:rsidRPr="007A074E" w:rsidRDefault="008859C0" w:rsidP="005275BA">
            <w:pPr>
              <w:jc w:val="both"/>
              <w:rPr>
                <w:bCs/>
                <w:lang w:val="uk-UA"/>
              </w:rPr>
            </w:pPr>
            <w:r w:rsidRPr="007A074E">
              <w:rPr>
                <w:bCs/>
                <w:lang w:val="uk-UA"/>
              </w:rPr>
              <w:t>Виконан</w:t>
            </w:r>
            <w:r>
              <w:rPr>
                <w:bCs/>
                <w:lang w:val="uk-UA"/>
              </w:rPr>
              <w:t>о</w:t>
            </w:r>
            <w:r w:rsidRPr="007A074E">
              <w:rPr>
                <w:bCs/>
                <w:lang w:val="uk-UA"/>
              </w:rPr>
              <w:t xml:space="preserve"> рішення НКРЕКП у строки, встановлені відповідним рішенням та/або законодавством</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24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1.25</w:t>
            </w:r>
          </w:p>
        </w:tc>
        <w:tc>
          <w:tcPr>
            <w:tcW w:w="0" w:type="auto"/>
          </w:tcPr>
          <w:p w:rsidR="008859C0" w:rsidRPr="007A074E" w:rsidRDefault="008859C0" w:rsidP="005275BA">
            <w:pPr>
              <w:jc w:val="both"/>
              <w:rPr>
                <w:bCs/>
                <w:lang w:val="uk-UA"/>
              </w:rPr>
            </w:pPr>
            <w:r w:rsidRPr="007A074E">
              <w:rPr>
                <w:bCs/>
                <w:lang w:val="uk-UA"/>
              </w:rPr>
              <w:t>Дотриман</w:t>
            </w:r>
            <w:r>
              <w:rPr>
                <w:bCs/>
                <w:lang w:val="uk-UA"/>
              </w:rPr>
              <w:t>о</w:t>
            </w:r>
            <w:r w:rsidRPr="007A074E">
              <w:rPr>
                <w:bCs/>
                <w:lang w:val="uk-UA"/>
              </w:rPr>
              <w:t xml:space="preserve"> мінімальн</w:t>
            </w:r>
            <w:r>
              <w:rPr>
                <w:bCs/>
                <w:lang w:val="uk-UA"/>
              </w:rPr>
              <w:t>і</w:t>
            </w:r>
            <w:r w:rsidRPr="007A074E">
              <w:rPr>
                <w:bCs/>
                <w:lang w:val="uk-UA"/>
              </w:rPr>
              <w:t xml:space="preserve"> стандарт</w:t>
            </w:r>
            <w:r>
              <w:rPr>
                <w:bCs/>
                <w:lang w:val="uk-UA"/>
              </w:rPr>
              <w:t>и</w:t>
            </w:r>
            <w:r w:rsidRPr="007A074E">
              <w:rPr>
                <w:bCs/>
                <w:lang w:val="uk-UA"/>
              </w:rPr>
              <w:t xml:space="preserve"> та вимог</w:t>
            </w:r>
            <w:r>
              <w:rPr>
                <w:bCs/>
                <w:lang w:val="uk-UA"/>
              </w:rPr>
              <w:t>и</w:t>
            </w:r>
            <w:r w:rsidRPr="007A074E">
              <w:rPr>
                <w:bCs/>
                <w:lang w:val="uk-UA"/>
              </w:rPr>
              <w:t xml:space="preserve"> до якості обслуговування споживачів та постачання природного газу, затверджених НКРЕКП</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25 пункту 2.2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1.26</w:t>
            </w:r>
          </w:p>
        </w:tc>
        <w:tc>
          <w:tcPr>
            <w:tcW w:w="0" w:type="auto"/>
          </w:tcPr>
          <w:p w:rsidR="008859C0" w:rsidRPr="007A074E" w:rsidRDefault="008859C0" w:rsidP="00D47AF4">
            <w:pPr>
              <w:jc w:val="both"/>
              <w:rPr>
                <w:bCs/>
                <w:lang w:val="uk-UA"/>
              </w:rPr>
            </w:pPr>
            <w:r w:rsidRPr="007A074E">
              <w:rPr>
                <w:bCs/>
                <w:lang w:val="uk-UA"/>
              </w:rPr>
              <w:t>Господарська діяльність з постачання природного газу здійснюється з дотриманням вимог Правил постачання природного газу, інших нормативно-правових актів та нормативних документів, які регулюють ринок природного газу</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пункт 2.1 глави 2 Ліцензійних умов</w:t>
            </w:r>
          </w:p>
        </w:tc>
      </w:tr>
      <w:tr w:rsidR="008859C0" w:rsidRPr="007A074E" w:rsidTr="008C381D">
        <w:tc>
          <w:tcPr>
            <w:tcW w:w="0" w:type="auto"/>
            <w:gridSpan w:val="7"/>
          </w:tcPr>
          <w:p w:rsidR="008859C0" w:rsidRPr="007A074E" w:rsidRDefault="008859C0" w:rsidP="00D47AF4">
            <w:pPr>
              <w:jc w:val="center"/>
              <w:rPr>
                <w:lang w:val="uk-UA"/>
              </w:rPr>
            </w:pPr>
            <w:r w:rsidRPr="007A074E">
              <w:rPr>
                <w:lang w:val="uk-UA"/>
              </w:rPr>
              <w:t>2. Технологічні вимоги до провадження господарської діяльності</w:t>
            </w:r>
          </w:p>
        </w:tc>
      </w:tr>
      <w:tr w:rsidR="008859C0" w:rsidRPr="007A074E" w:rsidTr="008C381D">
        <w:tc>
          <w:tcPr>
            <w:tcW w:w="0" w:type="auto"/>
          </w:tcPr>
          <w:p w:rsidR="008859C0" w:rsidRPr="007A074E" w:rsidRDefault="008859C0" w:rsidP="00D47AF4">
            <w:pPr>
              <w:rPr>
                <w:lang w:val="uk-UA"/>
              </w:rPr>
            </w:pPr>
            <w:r w:rsidRPr="007A074E">
              <w:rPr>
                <w:lang w:val="uk-UA"/>
              </w:rPr>
              <w:t>2.1</w:t>
            </w:r>
          </w:p>
        </w:tc>
        <w:tc>
          <w:tcPr>
            <w:tcW w:w="0" w:type="auto"/>
          </w:tcPr>
          <w:p w:rsidR="008859C0" w:rsidRPr="007A074E" w:rsidRDefault="008859C0" w:rsidP="00D47AF4">
            <w:pPr>
              <w:jc w:val="both"/>
              <w:rPr>
                <w:lang w:val="uk-UA"/>
              </w:rPr>
            </w:pPr>
            <w:r w:rsidRPr="007A074E">
              <w:rPr>
                <w:lang w:val="uk-UA"/>
              </w:rPr>
              <w:t>У ліцензіата наявні у власності чи користуванні будівлі та/або приміщення, в яких організовано точки контакту для прийому та обслуговування споживачів</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bCs/>
                <w:lang w:val="uk-UA"/>
              </w:rPr>
            </w:pPr>
            <w:r w:rsidRPr="007A074E">
              <w:rPr>
                <w:lang w:val="uk-UA"/>
              </w:rPr>
              <w:t>підпункт 1 пункту 2.5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2.2</w:t>
            </w:r>
          </w:p>
        </w:tc>
        <w:tc>
          <w:tcPr>
            <w:tcW w:w="0" w:type="auto"/>
          </w:tcPr>
          <w:p w:rsidR="008859C0" w:rsidRPr="007A074E" w:rsidRDefault="008859C0" w:rsidP="00D47AF4">
            <w:pPr>
              <w:jc w:val="both"/>
              <w:rPr>
                <w:lang w:val="uk-UA"/>
              </w:rPr>
            </w:pPr>
            <w:r w:rsidRPr="007A074E">
              <w:rPr>
                <w:lang w:val="uk-UA"/>
              </w:rPr>
              <w:t>Створення страхового запасу природного газу відповідно до чинного законодавства України</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2 пункту 2.5 глави 2 Ліцензійних умов</w:t>
            </w:r>
          </w:p>
        </w:tc>
      </w:tr>
      <w:tr w:rsidR="008859C0" w:rsidRPr="007A074E" w:rsidTr="008C381D">
        <w:tc>
          <w:tcPr>
            <w:tcW w:w="0" w:type="auto"/>
            <w:gridSpan w:val="7"/>
          </w:tcPr>
          <w:p w:rsidR="008859C0" w:rsidRPr="007A074E" w:rsidRDefault="008859C0" w:rsidP="00D47AF4">
            <w:pPr>
              <w:jc w:val="center"/>
              <w:rPr>
                <w:lang w:val="uk-UA"/>
              </w:rPr>
            </w:pPr>
            <w:r w:rsidRPr="007A074E">
              <w:rPr>
                <w:lang w:val="uk-UA"/>
              </w:rPr>
              <w:t>3. Кадрові вимоги до провадження господарської діяльності</w:t>
            </w:r>
          </w:p>
        </w:tc>
      </w:tr>
      <w:tr w:rsidR="008859C0" w:rsidRPr="007A074E" w:rsidTr="008C381D">
        <w:tc>
          <w:tcPr>
            <w:tcW w:w="0" w:type="auto"/>
          </w:tcPr>
          <w:p w:rsidR="008859C0" w:rsidRPr="007A074E" w:rsidRDefault="008859C0" w:rsidP="00D47AF4">
            <w:pPr>
              <w:rPr>
                <w:lang w:val="uk-UA"/>
              </w:rPr>
            </w:pPr>
            <w:r w:rsidRPr="007A074E">
              <w:rPr>
                <w:lang w:val="uk-UA"/>
              </w:rPr>
              <w:t>3.1</w:t>
            </w:r>
          </w:p>
        </w:tc>
        <w:tc>
          <w:tcPr>
            <w:tcW w:w="0" w:type="auto"/>
          </w:tcPr>
          <w:p w:rsidR="008859C0" w:rsidRPr="007A074E" w:rsidRDefault="008859C0" w:rsidP="00D47AF4">
            <w:pPr>
              <w:jc w:val="both"/>
              <w:rPr>
                <w:lang w:val="uk-UA"/>
              </w:rPr>
            </w:pPr>
            <w:r w:rsidRPr="007A074E">
              <w:rPr>
                <w:lang w:val="uk-UA"/>
              </w:rPr>
              <w:t>Провадження ліцензованої діяльності здійснюється під керівництвом посадових осіб, які мають ступінь вищої освіти, достатній для успішного виконання професійних обов'язків</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підпункт 1 пункту 2.7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3.2</w:t>
            </w:r>
          </w:p>
        </w:tc>
        <w:tc>
          <w:tcPr>
            <w:tcW w:w="0" w:type="auto"/>
          </w:tcPr>
          <w:p w:rsidR="008859C0" w:rsidRPr="007A074E" w:rsidRDefault="008859C0" w:rsidP="00D47AF4">
            <w:pPr>
              <w:jc w:val="both"/>
              <w:rPr>
                <w:lang w:val="uk-UA"/>
              </w:rPr>
            </w:pPr>
            <w:r w:rsidRPr="007A074E">
              <w:rPr>
                <w:lang w:val="uk-UA"/>
              </w:rPr>
              <w:t>Ліцензіатом оформлено трудові відносини з персоналом</w:t>
            </w:r>
            <w:bookmarkStart w:id="0" w:name="_GoBack"/>
            <w:bookmarkEnd w:id="0"/>
            <w:r w:rsidR="00AF1C61" w:rsidRPr="00AF1C61">
              <w:rPr>
                <w:rStyle w:val="st42"/>
                <w:lang w:val="uk-UA"/>
              </w:rPr>
              <w:t xml:space="preserve">, який задіяний для виконання функцій </w:t>
            </w:r>
            <w:r w:rsidR="00AF1C61" w:rsidRPr="00AF1C61">
              <w:rPr>
                <w:rStyle w:val="st42"/>
                <w:lang w:val="uk-UA"/>
              </w:rPr>
              <w:lastRenderedPageBreak/>
              <w:t>ліцензованої діяльності,</w:t>
            </w:r>
            <w:r w:rsidRPr="007A074E">
              <w:rPr>
                <w:lang w:val="uk-UA"/>
              </w:rPr>
              <w:t xml:space="preserve"> шляхом укладення трудових договорів відповідно до вимог Кодексу законів про працю України</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lang w:val="uk-UA"/>
              </w:rPr>
            </w:pPr>
            <w:r w:rsidRPr="007A074E">
              <w:rPr>
                <w:lang w:val="uk-UA"/>
              </w:rPr>
              <w:t xml:space="preserve">підпункт 2 пункту 2.7 глави 2 </w:t>
            </w:r>
            <w:r w:rsidRPr="007A074E">
              <w:rPr>
                <w:lang w:val="uk-UA"/>
              </w:rPr>
              <w:lastRenderedPageBreak/>
              <w:t>Ліцензійних умов</w:t>
            </w:r>
          </w:p>
        </w:tc>
      </w:tr>
      <w:tr w:rsidR="008859C0" w:rsidRPr="007A074E" w:rsidTr="008C381D">
        <w:tc>
          <w:tcPr>
            <w:tcW w:w="0" w:type="auto"/>
            <w:gridSpan w:val="7"/>
          </w:tcPr>
          <w:p w:rsidR="008859C0" w:rsidRPr="007A074E" w:rsidRDefault="008859C0" w:rsidP="00D47AF4">
            <w:pPr>
              <w:jc w:val="center"/>
              <w:rPr>
                <w:lang w:val="uk-UA"/>
              </w:rPr>
            </w:pPr>
            <w:r w:rsidRPr="007A074E">
              <w:rPr>
                <w:lang w:val="uk-UA"/>
              </w:rPr>
              <w:lastRenderedPageBreak/>
              <w:t>4. Спеціальні вимоги до провадження господарської діяльності</w:t>
            </w:r>
          </w:p>
        </w:tc>
      </w:tr>
      <w:tr w:rsidR="008859C0" w:rsidRPr="007A074E" w:rsidTr="008C381D">
        <w:tc>
          <w:tcPr>
            <w:tcW w:w="0" w:type="auto"/>
          </w:tcPr>
          <w:p w:rsidR="008859C0" w:rsidRPr="007A074E" w:rsidRDefault="008859C0" w:rsidP="00D47AF4">
            <w:pPr>
              <w:rPr>
                <w:lang w:val="uk-UA"/>
              </w:rPr>
            </w:pPr>
            <w:r w:rsidRPr="007A074E">
              <w:rPr>
                <w:lang w:val="uk-UA"/>
              </w:rPr>
              <w:t>4.1</w:t>
            </w:r>
          </w:p>
        </w:tc>
        <w:tc>
          <w:tcPr>
            <w:tcW w:w="0" w:type="auto"/>
          </w:tcPr>
          <w:p w:rsidR="008859C0" w:rsidRPr="007A074E" w:rsidRDefault="008859C0" w:rsidP="00D47AF4">
            <w:pPr>
              <w:jc w:val="both"/>
              <w:rPr>
                <w:bCs/>
                <w:lang w:val="uk-UA"/>
              </w:rPr>
            </w:pPr>
            <w:r>
              <w:rPr>
                <w:bCs/>
                <w:lang w:val="uk-UA"/>
              </w:rPr>
              <w:t>Р</w:t>
            </w:r>
            <w:r w:rsidRPr="007A074E">
              <w:rPr>
                <w:bCs/>
                <w:lang w:val="uk-UA"/>
              </w:rPr>
              <w:t>озміщено на своєму вебсайті чинну редакцію Правил постачання природного газу та договір постачання природного газу, який пропонується споживачам</w:t>
            </w: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jc w:val="center"/>
              <w:rPr>
                <w:bCs/>
                <w:lang w:val="uk-UA"/>
              </w:rPr>
            </w:pPr>
            <w:r w:rsidRPr="007A074E">
              <w:rPr>
                <w:bCs/>
                <w:lang w:val="uk-UA" w:eastAsia="uk-UA"/>
              </w:rPr>
              <w:t>підпункт 1 пункту 2.6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4.2</w:t>
            </w:r>
          </w:p>
        </w:tc>
        <w:tc>
          <w:tcPr>
            <w:tcW w:w="0" w:type="auto"/>
          </w:tcPr>
          <w:p w:rsidR="008859C0" w:rsidRPr="007A074E" w:rsidRDefault="008859C0" w:rsidP="00D47AF4">
            <w:pPr>
              <w:jc w:val="both"/>
              <w:rPr>
                <w:bCs/>
                <w:lang w:val="uk-UA"/>
              </w:rPr>
            </w:pPr>
            <w:r>
              <w:rPr>
                <w:bCs/>
                <w:lang w:val="uk-UA"/>
              </w:rPr>
              <w:t>Р</w:t>
            </w:r>
            <w:r w:rsidRPr="007A074E">
              <w:rPr>
                <w:bCs/>
                <w:lang w:val="uk-UA"/>
              </w:rPr>
              <w:t>озміщено на своєму вебсайті ціни на природний газ, спосіб та умови оплати за використаний природний газ, іншу інформацію, що вимагається чинними нормативно-правовими актами</w:t>
            </w: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jc w:val="center"/>
              <w:rPr>
                <w:bCs/>
                <w:lang w:val="uk-UA" w:eastAsia="uk-UA"/>
              </w:rPr>
            </w:pPr>
            <w:r w:rsidRPr="007A074E">
              <w:rPr>
                <w:bCs/>
                <w:lang w:val="uk-UA" w:eastAsia="uk-UA"/>
              </w:rPr>
              <w:t>підпункт 2 пункту 2.6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4.3</w:t>
            </w:r>
          </w:p>
        </w:tc>
        <w:tc>
          <w:tcPr>
            <w:tcW w:w="0" w:type="auto"/>
          </w:tcPr>
          <w:p w:rsidR="008859C0" w:rsidRPr="007A074E" w:rsidRDefault="008859C0" w:rsidP="00D47AF4">
            <w:pPr>
              <w:jc w:val="both"/>
              <w:rPr>
                <w:bCs/>
                <w:lang w:val="uk-UA"/>
              </w:rPr>
            </w:pPr>
            <w:r>
              <w:rPr>
                <w:bCs/>
                <w:lang w:val="uk-UA"/>
              </w:rPr>
              <w:t>Р</w:t>
            </w:r>
            <w:r w:rsidRPr="007A074E">
              <w:rPr>
                <w:bCs/>
                <w:lang w:val="uk-UA"/>
              </w:rPr>
              <w:t>озміщено на своєму вебсайті загальні умови постачання,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типові договори на постачання природного газу побутовим споживачам (у разі наміру постачати природний газ побутовим споживачам), затверджені НКРЕКП</w:t>
            </w: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jc w:val="center"/>
              <w:rPr>
                <w:bCs/>
                <w:lang w:val="uk-UA" w:eastAsia="uk-UA"/>
              </w:rPr>
            </w:pPr>
            <w:r w:rsidRPr="007A074E">
              <w:rPr>
                <w:bCs/>
                <w:lang w:val="uk-UA" w:eastAsia="uk-UA"/>
              </w:rPr>
              <w:t>підпункт 3 пункту 2.6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4.4</w:t>
            </w:r>
          </w:p>
        </w:tc>
        <w:tc>
          <w:tcPr>
            <w:tcW w:w="0" w:type="auto"/>
          </w:tcPr>
          <w:p w:rsidR="008859C0" w:rsidRPr="007A074E" w:rsidRDefault="008859C0" w:rsidP="00D47AF4">
            <w:pPr>
              <w:jc w:val="both"/>
              <w:rPr>
                <w:bCs/>
                <w:lang w:val="uk-UA"/>
              </w:rPr>
            </w:pPr>
            <w:r>
              <w:rPr>
                <w:bCs/>
                <w:lang w:val="uk-UA"/>
              </w:rPr>
              <w:t>Р</w:t>
            </w:r>
            <w:r w:rsidRPr="007A074E">
              <w:rPr>
                <w:bCs/>
                <w:lang w:val="uk-UA"/>
              </w:rPr>
              <w:t>озміщено на своєму вебсайті процедуру вирішення спорів постачальником і контактну інформацію підрозділів ліцензіата, відповідальних за розв'язання спорів (телефони, e-mail, режим роботи, адреса, прізвище, ім'я та по батькові відповідальних працівників тощо)</w:t>
            </w: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jc w:val="center"/>
              <w:rPr>
                <w:bCs/>
                <w:lang w:val="uk-UA" w:eastAsia="uk-UA"/>
              </w:rPr>
            </w:pPr>
            <w:r w:rsidRPr="007A074E">
              <w:rPr>
                <w:bCs/>
                <w:lang w:val="uk-UA" w:eastAsia="uk-UA"/>
              </w:rPr>
              <w:t>підпункт 4 пункту 2.6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4.5</w:t>
            </w:r>
          </w:p>
        </w:tc>
        <w:tc>
          <w:tcPr>
            <w:tcW w:w="0" w:type="auto"/>
          </w:tcPr>
          <w:p w:rsidR="008859C0" w:rsidRPr="007A074E" w:rsidRDefault="008859C0" w:rsidP="00D47AF4">
            <w:pPr>
              <w:jc w:val="both"/>
              <w:rPr>
                <w:bCs/>
                <w:lang w:val="uk-UA"/>
              </w:rPr>
            </w:pPr>
            <w:r>
              <w:rPr>
                <w:bCs/>
                <w:lang w:val="uk-UA"/>
              </w:rPr>
              <w:t>Р</w:t>
            </w:r>
            <w:r w:rsidRPr="007A074E">
              <w:rPr>
                <w:bCs/>
                <w:lang w:val="uk-UA"/>
              </w:rPr>
              <w:t>озміщено на своєму вебсайті річну звітність у встановленому законодавством порядку</w:t>
            </w: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jc w:val="center"/>
              <w:rPr>
                <w:bCs/>
                <w:lang w:val="uk-UA" w:eastAsia="uk-UA"/>
              </w:rPr>
            </w:pPr>
            <w:r w:rsidRPr="007A074E">
              <w:rPr>
                <w:bCs/>
                <w:lang w:val="uk-UA" w:eastAsia="uk-UA"/>
              </w:rPr>
              <w:t>підпункт 5 пункту 2.6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4.6</w:t>
            </w:r>
          </w:p>
        </w:tc>
        <w:tc>
          <w:tcPr>
            <w:tcW w:w="0" w:type="auto"/>
          </w:tcPr>
          <w:p w:rsidR="008859C0" w:rsidRPr="007A074E" w:rsidRDefault="008859C0" w:rsidP="00D47AF4">
            <w:pPr>
              <w:jc w:val="both"/>
              <w:rPr>
                <w:bCs/>
                <w:lang w:val="uk-UA"/>
              </w:rPr>
            </w:pPr>
            <w:r>
              <w:rPr>
                <w:bCs/>
                <w:lang w:val="uk-UA"/>
              </w:rPr>
              <w:t>Р</w:t>
            </w:r>
            <w:r w:rsidRPr="007A074E">
              <w:rPr>
                <w:bCs/>
                <w:lang w:val="uk-UA"/>
              </w:rPr>
              <w:t>озміщено на своєму вебсайті мінімальні стандарти та вимоги до якості обслуговування споживачів та постачання природного газу</w:t>
            </w: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rPr>
                <w:bCs/>
                <w:lang w:val="uk-UA" w:eastAsia="uk-UA"/>
              </w:rPr>
            </w:pPr>
          </w:p>
        </w:tc>
        <w:tc>
          <w:tcPr>
            <w:tcW w:w="0" w:type="auto"/>
          </w:tcPr>
          <w:p w:rsidR="008859C0" w:rsidRPr="007A074E" w:rsidRDefault="008859C0" w:rsidP="00D47AF4">
            <w:pPr>
              <w:jc w:val="center"/>
              <w:rPr>
                <w:bCs/>
                <w:lang w:val="uk-UA" w:eastAsia="uk-UA"/>
              </w:rPr>
            </w:pPr>
            <w:r w:rsidRPr="007A074E">
              <w:rPr>
                <w:bCs/>
                <w:lang w:val="uk-UA" w:eastAsia="uk-UA"/>
              </w:rPr>
              <w:t>підпункт 6 пункту 2.6 глави 2 Ліцензійних умов</w:t>
            </w:r>
          </w:p>
        </w:tc>
      </w:tr>
      <w:tr w:rsidR="008859C0" w:rsidRPr="007A074E" w:rsidTr="008C381D">
        <w:trPr>
          <w:trHeight w:val="3365"/>
        </w:trPr>
        <w:tc>
          <w:tcPr>
            <w:tcW w:w="0" w:type="auto"/>
          </w:tcPr>
          <w:p w:rsidR="008859C0" w:rsidRPr="007A074E" w:rsidRDefault="008859C0" w:rsidP="00D47AF4">
            <w:pPr>
              <w:rPr>
                <w:lang w:val="uk-UA"/>
              </w:rPr>
            </w:pPr>
            <w:r w:rsidRPr="007A074E">
              <w:rPr>
                <w:lang w:val="uk-UA"/>
              </w:rPr>
              <w:lastRenderedPageBreak/>
              <w:t>4.7</w:t>
            </w:r>
          </w:p>
        </w:tc>
        <w:tc>
          <w:tcPr>
            <w:tcW w:w="0" w:type="auto"/>
          </w:tcPr>
          <w:p w:rsidR="008859C0" w:rsidRPr="007A074E" w:rsidRDefault="008859C0" w:rsidP="00D47AF4">
            <w:pPr>
              <w:jc w:val="both"/>
              <w:rPr>
                <w:lang w:val="uk-UA"/>
              </w:rPr>
            </w:pPr>
            <w:r w:rsidRPr="007A074E">
              <w:rPr>
                <w:lang w:val="uk-UA"/>
              </w:rPr>
              <w:t>Постачальник природного газу, на якого покладені спеціальні обов'язки для забезпечення загальносуспільних інтересів, крім вимог, передбачених пунктом 2.2 цієї глави, повинен також дотримуватися вимог статті 11 Закону України «Про ринок природного газу» та інших нормативно-правових актів, що регулюють діяльність постачальників природного газу, на яких покладені спеціальні обов'язки для забезпечення загальносуспільних інтересів</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bCs/>
                <w:lang w:val="uk-UA"/>
              </w:rPr>
            </w:pPr>
            <w:r w:rsidRPr="007A074E">
              <w:rPr>
                <w:bCs/>
                <w:lang w:val="uk-UA" w:eastAsia="uk-UA"/>
              </w:rPr>
              <w:t>пункт 2.3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4.8</w:t>
            </w:r>
          </w:p>
        </w:tc>
        <w:tc>
          <w:tcPr>
            <w:tcW w:w="0" w:type="auto"/>
          </w:tcPr>
          <w:p w:rsidR="008859C0" w:rsidRPr="007A074E" w:rsidRDefault="008859C0" w:rsidP="00D47AF4">
            <w:pPr>
              <w:jc w:val="both"/>
              <w:rPr>
                <w:strike/>
                <w:lang w:val="uk-UA"/>
              </w:rPr>
            </w:pPr>
            <w:r w:rsidRPr="007A074E">
              <w:rPr>
                <w:lang w:val="uk-UA"/>
              </w:rPr>
              <w:t>Створено особистий кабінет споживача на власному вебсайті, що містить персоніфіковані дані споживача, статистичні дані про ціни та нарахування і сплату за договором постачання природного газу та іншу інформацію, пов’язану з виконанням зазначеного договору (у разі постачання природного газу побутовим споживачам</w:t>
            </w:r>
            <w:r w:rsidRPr="007A074E">
              <w:rPr>
                <w:strike/>
                <w:lang w:val="uk-UA"/>
              </w:rPr>
              <w:t>)</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strike/>
                <w:lang w:val="uk-UA"/>
              </w:rPr>
            </w:pPr>
          </w:p>
        </w:tc>
        <w:tc>
          <w:tcPr>
            <w:tcW w:w="0" w:type="auto"/>
          </w:tcPr>
          <w:p w:rsidR="008859C0" w:rsidRPr="007A074E" w:rsidRDefault="008859C0" w:rsidP="00D47AF4">
            <w:pPr>
              <w:rPr>
                <w:strike/>
                <w:lang w:val="uk-UA"/>
              </w:rPr>
            </w:pPr>
          </w:p>
        </w:tc>
        <w:tc>
          <w:tcPr>
            <w:tcW w:w="0" w:type="auto"/>
          </w:tcPr>
          <w:p w:rsidR="008859C0" w:rsidRPr="007A074E" w:rsidRDefault="008859C0" w:rsidP="00D47AF4">
            <w:pPr>
              <w:rPr>
                <w:strike/>
                <w:lang w:val="uk-UA"/>
              </w:rPr>
            </w:pPr>
          </w:p>
        </w:tc>
        <w:tc>
          <w:tcPr>
            <w:tcW w:w="0" w:type="auto"/>
          </w:tcPr>
          <w:p w:rsidR="008859C0" w:rsidRPr="007A074E" w:rsidRDefault="008859C0" w:rsidP="00731A9C">
            <w:pPr>
              <w:jc w:val="center"/>
              <w:rPr>
                <w:bCs/>
                <w:lang w:val="uk-UA"/>
              </w:rPr>
            </w:pPr>
            <w:r w:rsidRPr="007A074E">
              <w:rPr>
                <w:bCs/>
                <w:lang w:val="uk-UA" w:eastAsia="uk-UA"/>
              </w:rPr>
              <w:t>абзац другий пункту 2.4 глави 2 Ліцензійних умов</w:t>
            </w:r>
            <w:r>
              <w:rPr>
                <w:bCs/>
                <w:lang w:val="uk-UA" w:eastAsia="uk-UA"/>
              </w:rPr>
              <w:t>;</w:t>
            </w:r>
            <w:r w:rsidRPr="007A074E">
              <w:rPr>
                <w:bCs/>
                <w:lang w:val="uk-UA" w:eastAsia="uk-UA"/>
              </w:rPr>
              <w:t xml:space="preserve"> </w:t>
            </w:r>
            <w:r>
              <w:rPr>
                <w:bCs/>
                <w:lang w:val="uk-UA" w:eastAsia="uk-UA"/>
              </w:rPr>
              <w:br/>
            </w:r>
            <w:r w:rsidRPr="007A074E">
              <w:rPr>
                <w:lang w:val="uk-UA"/>
              </w:rPr>
              <w:t xml:space="preserve">статті 12 та 15 Закону України </w:t>
            </w:r>
            <w:r>
              <w:rPr>
                <w:lang w:val="uk-UA"/>
              </w:rPr>
              <w:t>«</w:t>
            </w:r>
            <w:r w:rsidRPr="007A074E">
              <w:rPr>
                <w:lang w:val="uk-UA"/>
              </w:rPr>
              <w:t>Про ринок природного газу</w:t>
            </w:r>
            <w:r>
              <w:rPr>
                <w:lang w:val="uk-UA"/>
              </w:rPr>
              <w:t>»</w:t>
            </w:r>
            <w:r w:rsidRPr="007A074E">
              <w:rPr>
                <w:lang w:val="uk-UA"/>
              </w:rPr>
              <w:t>, Прав</w:t>
            </w:r>
            <w:r>
              <w:rPr>
                <w:lang w:val="uk-UA"/>
              </w:rPr>
              <w:t xml:space="preserve">ила постачання природного газу </w:t>
            </w:r>
            <w:r w:rsidRPr="007A074E">
              <w:rPr>
                <w:lang w:val="uk-UA"/>
              </w:rPr>
              <w:t xml:space="preserve">для постачальника </w:t>
            </w:r>
            <w:r>
              <w:rPr>
                <w:lang w:val="uk-UA"/>
              </w:rPr>
              <w:t>«</w:t>
            </w:r>
            <w:r w:rsidRPr="007A074E">
              <w:rPr>
                <w:lang w:val="uk-UA"/>
              </w:rPr>
              <w:t>останньої надії</w:t>
            </w:r>
            <w:r>
              <w:rPr>
                <w:lang w:val="uk-UA"/>
              </w:rPr>
              <w:t>»</w:t>
            </w:r>
          </w:p>
        </w:tc>
      </w:tr>
      <w:tr w:rsidR="008859C0" w:rsidRPr="007A074E" w:rsidTr="008C381D">
        <w:tc>
          <w:tcPr>
            <w:tcW w:w="0" w:type="auto"/>
          </w:tcPr>
          <w:p w:rsidR="008859C0" w:rsidRPr="007A074E" w:rsidRDefault="008859C0" w:rsidP="00D47AF4">
            <w:pPr>
              <w:rPr>
                <w:lang w:val="uk-UA"/>
              </w:rPr>
            </w:pPr>
            <w:r w:rsidRPr="007A074E">
              <w:rPr>
                <w:lang w:val="uk-UA"/>
              </w:rPr>
              <w:t>4.9</w:t>
            </w:r>
          </w:p>
        </w:tc>
        <w:tc>
          <w:tcPr>
            <w:tcW w:w="0" w:type="auto"/>
          </w:tcPr>
          <w:p w:rsidR="008859C0" w:rsidRPr="007A074E" w:rsidRDefault="008859C0" w:rsidP="005275BA">
            <w:pPr>
              <w:jc w:val="both"/>
              <w:rPr>
                <w:lang w:val="uk-UA"/>
              </w:rPr>
            </w:pPr>
            <w:r w:rsidRPr="007A074E">
              <w:rPr>
                <w:lang w:val="uk-UA"/>
              </w:rPr>
              <w:t>Забезпечен</w:t>
            </w:r>
            <w:r>
              <w:rPr>
                <w:lang w:val="uk-UA"/>
              </w:rPr>
              <w:t>о</w:t>
            </w:r>
            <w:r w:rsidRPr="007A074E">
              <w:rPr>
                <w:lang w:val="uk-UA"/>
              </w:rPr>
              <w:t xml:space="preserve"> відповідно до законодавства обов'язкову перевірку річної фінансової звітності ліцензіата аудитором, вимоги до якого встановлені Законом України «Про аудит фінансової звітності та аудиторську діяльність», та розміщення її на вебсайті ліцензіата у порядку, встановленому Законом України «Про бухгалтерський облік та фінансову звітність в Україні»</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jc w:val="center"/>
              <w:rPr>
                <w:bCs/>
                <w:lang w:val="uk-UA" w:eastAsia="uk-UA"/>
              </w:rPr>
            </w:pPr>
            <w:r w:rsidRPr="007A074E">
              <w:rPr>
                <w:bCs/>
                <w:lang w:val="uk-UA" w:eastAsia="uk-UA"/>
              </w:rPr>
              <w:t>абзац третій пункту 2.4 глави 2 Ліцензійних умов</w:t>
            </w:r>
          </w:p>
        </w:tc>
      </w:tr>
      <w:tr w:rsidR="008859C0" w:rsidRPr="007A074E" w:rsidTr="008C381D">
        <w:tc>
          <w:tcPr>
            <w:tcW w:w="0" w:type="auto"/>
          </w:tcPr>
          <w:p w:rsidR="008859C0" w:rsidRPr="007A074E" w:rsidRDefault="008859C0" w:rsidP="00D47AF4">
            <w:pPr>
              <w:rPr>
                <w:lang w:val="uk-UA"/>
              </w:rPr>
            </w:pPr>
            <w:r w:rsidRPr="007A074E">
              <w:rPr>
                <w:lang w:val="uk-UA"/>
              </w:rPr>
              <w:t>4.10</w:t>
            </w:r>
          </w:p>
        </w:tc>
        <w:tc>
          <w:tcPr>
            <w:tcW w:w="0" w:type="auto"/>
          </w:tcPr>
          <w:p w:rsidR="008859C0" w:rsidRPr="007A074E" w:rsidRDefault="008859C0" w:rsidP="00D47AF4">
            <w:pPr>
              <w:tabs>
                <w:tab w:val="left" w:pos="0"/>
                <w:tab w:val="left" w:pos="1080"/>
                <w:tab w:val="left" w:pos="1134"/>
              </w:tabs>
              <w:jc w:val="both"/>
              <w:rPr>
                <w:lang w:val="uk-UA"/>
              </w:rPr>
            </w:pPr>
            <w:r w:rsidRPr="007A074E">
              <w:rPr>
                <w:lang w:val="uk-UA"/>
              </w:rPr>
              <w:t xml:space="preserve">Ліцензіат не допускає здійснення над ним контролю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та </w:t>
            </w:r>
            <w:r w:rsidRPr="007A074E">
              <w:rPr>
                <w:lang w:val="uk-UA"/>
              </w:rPr>
              <w:lastRenderedPageBreak/>
              <w:t>застосування воєнної сили проти України</w:t>
            </w: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D47AF4">
            <w:pPr>
              <w:rPr>
                <w:lang w:val="uk-UA"/>
              </w:rPr>
            </w:pPr>
          </w:p>
        </w:tc>
        <w:tc>
          <w:tcPr>
            <w:tcW w:w="0" w:type="auto"/>
          </w:tcPr>
          <w:p w:rsidR="008859C0" w:rsidRPr="007A074E" w:rsidRDefault="008859C0" w:rsidP="005275BA">
            <w:pPr>
              <w:jc w:val="center"/>
              <w:rPr>
                <w:bCs/>
                <w:lang w:val="uk-UA"/>
              </w:rPr>
            </w:pPr>
            <w:r w:rsidRPr="007A074E">
              <w:rPr>
                <w:lang w:val="uk-UA"/>
              </w:rPr>
              <w:t>пункт 2.8 глави 2 Ліцензійних умов</w:t>
            </w:r>
          </w:p>
        </w:tc>
      </w:tr>
    </w:tbl>
    <w:p w:rsidR="008859C0" w:rsidRDefault="008859C0" w:rsidP="008C381D">
      <w:pPr>
        <w:pStyle w:val="a3"/>
        <w:tabs>
          <w:tab w:val="left" w:pos="1134"/>
        </w:tabs>
        <w:spacing w:before="60" w:after="60"/>
        <w:ind w:left="0" w:firstLine="709"/>
        <w:jc w:val="both"/>
      </w:pPr>
    </w:p>
    <w:p w:rsidR="008531F1" w:rsidRDefault="008531F1" w:rsidP="008C381D">
      <w:pPr>
        <w:pStyle w:val="a3"/>
        <w:tabs>
          <w:tab w:val="left" w:pos="1134"/>
        </w:tabs>
        <w:spacing w:before="60" w:after="60"/>
        <w:ind w:left="0" w:firstLine="709"/>
        <w:jc w:val="both"/>
      </w:pPr>
    </w:p>
    <w:p w:rsidR="00437545" w:rsidRPr="00437545" w:rsidRDefault="00437545" w:rsidP="008C381D">
      <w:pPr>
        <w:pStyle w:val="a3"/>
        <w:tabs>
          <w:tab w:val="left" w:pos="1134"/>
        </w:tabs>
        <w:spacing w:before="60" w:after="60"/>
        <w:ind w:left="0" w:firstLine="709"/>
        <w:jc w:val="both"/>
        <w:rPr>
          <w:color w:val="808080" w:themeColor="background1" w:themeShade="80"/>
        </w:rPr>
      </w:pPr>
      <w:r w:rsidRPr="00437545">
        <w:rPr>
          <w:rStyle w:val="st46"/>
          <w:color w:val="808080" w:themeColor="background1" w:themeShade="80"/>
        </w:rPr>
        <w:t xml:space="preserve">{Додаток в редакції Постанов Національної комісії, що здійснює державне регулювання у сферах енергетики та комунальних послуг </w:t>
      </w:r>
      <w:r w:rsidRPr="00437545">
        <w:rPr>
          <w:rStyle w:val="st131"/>
          <w:color w:val="808080" w:themeColor="background1" w:themeShade="80"/>
        </w:rPr>
        <w:t>№ 601 від 11.03.2020</w:t>
      </w:r>
      <w:r w:rsidRPr="00437545">
        <w:rPr>
          <w:rStyle w:val="st46"/>
          <w:color w:val="808080" w:themeColor="background1" w:themeShade="80"/>
        </w:rPr>
        <w:t xml:space="preserve">, </w:t>
      </w:r>
      <w:r w:rsidRPr="00437545">
        <w:rPr>
          <w:rStyle w:val="st131"/>
          <w:color w:val="808080" w:themeColor="background1" w:themeShade="80"/>
        </w:rPr>
        <w:t>№ 935 від 09.06.2021</w:t>
      </w:r>
      <w:r w:rsidRPr="00437545">
        <w:rPr>
          <w:rStyle w:val="st121"/>
          <w:color w:val="808080" w:themeColor="background1" w:themeShade="80"/>
        </w:rPr>
        <w:t xml:space="preserve">, </w:t>
      </w:r>
      <w:r w:rsidRPr="00437545">
        <w:rPr>
          <w:rStyle w:val="st131"/>
          <w:color w:val="808080" w:themeColor="background1" w:themeShade="80"/>
        </w:rPr>
        <w:t>№ 2585 від 17.12.2021</w:t>
      </w:r>
      <w:r w:rsidRPr="00437545">
        <w:rPr>
          <w:rStyle w:val="st46"/>
          <w:color w:val="808080" w:themeColor="background1" w:themeShade="80"/>
        </w:rPr>
        <w:t>;</w:t>
      </w:r>
      <w:r w:rsidRPr="00437545">
        <w:rPr>
          <w:rStyle w:val="st121"/>
          <w:color w:val="808080" w:themeColor="background1" w:themeShade="80"/>
        </w:rPr>
        <w:t xml:space="preserve"> із змінами, внесеними згідно з Постановою Національної комісії, що здійснює державне регулювання у сферах енергетики та комунальних послуг </w:t>
      </w:r>
      <w:r w:rsidRPr="00437545">
        <w:rPr>
          <w:rStyle w:val="st131"/>
          <w:color w:val="808080" w:themeColor="background1" w:themeShade="80"/>
        </w:rPr>
        <w:t>№ 1265 від 04.10.2022</w:t>
      </w:r>
      <w:r w:rsidRPr="00437545">
        <w:rPr>
          <w:rStyle w:val="st46"/>
          <w:color w:val="808080" w:themeColor="background1" w:themeShade="80"/>
        </w:rPr>
        <w:t>}</w:t>
      </w:r>
    </w:p>
    <w:sectPr w:rsidR="00437545" w:rsidRPr="00437545" w:rsidSect="008C381D">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CF" w:rsidRDefault="00D925CF" w:rsidP="000C70A9">
      <w:r>
        <w:separator/>
      </w:r>
    </w:p>
  </w:endnote>
  <w:endnote w:type="continuationSeparator" w:id="0">
    <w:p w:rsidR="00D925CF" w:rsidRDefault="00D925CF" w:rsidP="000C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CF" w:rsidRDefault="00D925CF" w:rsidP="000C70A9">
      <w:r>
        <w:separator/>
      </w:r>
    </w:p>
  </w:footnote>
  <w:footnote w:type="continuationSeparator" w:id="0">
    <w:p w:rsidR="00D925CF" w:rsidRDefault="00D925CF" w:rsidP="000C70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F07"/>
    <w:multiLevelType w:val="hybridMultilevel"/>
    <w:tmpl w:val="7F78A44A"/>
    <w:lvl w:ilvl="0" w:tplc="F3D0FC60">
      <w:start w:val="1"/>
      <w:numFmt w:val="decimal"/>
      <w:lvlText w:val="%1)"/>
      <w:lvlJc w:val="left"/>
      <w:pPr>
        <w:ind w:left="927"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0BF274EB"/>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69F2A0B"/>
    <w:multiLevelType w:val="hybridMultilevel"/>
    <w:tmpl w:val="2E68A504"/>
    <w:lvl w:ilvl="0" w:tplc="C18E08F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A5512B"/>
    <w:multiLevelType w:val="hybridMultilevel"/>
    <w:tmpl w:val="2DEC4168"/>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9F458A3"/>
    <w:multiLevelType w:val="hybridMultilevel"/>
    <w:tmpl w:val="AE72B7E0"/>
    <w:lvl w:ilvl="0" w:tplc="70F2500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 w15:restartNumberingAfterBreak="0">
    <w:nsid w:val="4ED33A89"/>
    <w:multiLevelType w:val="hybridMultilevel"/>
    <w:tmpl w:val="BCACB84E"/>
    <w:lvl w:ilvl="0" w:tplc="C18E08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DFB2EE8"/>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DC"/>
    <w:rsid w:val="00007DBC"/>
    <w:rsid w:val="000B0F3C"/>
    <w:rsid w:val="000C70A9"/>
    <w:rsid w:val="0014527A"/>
    <w:rsid w:val="00167407"/>
    <w:rsid w:val="00172A7B"/>
    <w:rsid w:val="00182B0F"/>
    <w:rsid w:val="00253F9E"/>
    <w:rsid w:val="00266C4E"/>
    <w:rsid w:val="002B7523"/>
    <w:rsid w:val="002F391A"/>
    <w:rsid w:val="00300CBD"/>
    <w:rsid w:val="00327782"/>
    <w:rsid w:val="003F0860"/>
    <w:rsid w:val="003F5F6B"/>
    <w:rsid w:val="00437545"/>
    <w:rsid w:val="00441B4D"/>
    <w:rsid w:val="004B37C1"/>
    <w:rsid w:val="004B592B"/>
    <w:rsid w:val="004D1ACC"/>
    <w:rsid w:val="004E68DC"/>
    <w:rsid w:val="00502A72"/>
    <w:rsid w:val="005275BA"/>
    <w:rsid w:val="00537426"/>
    <w:rsid w:val="005758C5"/>
    <w:rsid w:val="005A63E9"/>
    <w:rsid w:val="00672881"/>
    <w:rsid w:val="006D5F45"/>
    <w:rsid w:val="00713D29"/>
    <w:rsid w:val="007244BC"/>
    <w:rsid w:val="00731A9C"/>
    <w:rsid w:val="007563D6"/>
    <w:rsid w:val="00767260"/>
    <w:rsid w:val="00790BF7"/>
    <w:rsid w:val="007A074E"/>
    <w:rsid w:val="007A5696"/>
    <w:rsid w:val="007C4DA9"/>
    <w:rsid w:val="00831912"/>
    <w:rsid w:val="00845EED"/>
    <w:rsid w:val="008531F1"/>
    <w:rsid w:val="008859C0"/>
    <w:rsid w:val="008C381D"/>
    <w:rsid w:val="00915B6A"/>
    <w:rsid w:val="009A4CBA"/>
    <w:rsid w:val="009C52C9"/>
    <w:rsid w:val="00A8198E"/>
    <w:rsid w:val="00AD2EAC"/>
    <w:rsid w:val="00AE5575"/>
    <w:rsid w:val="00AF1C61"/>
    <w:rsid w:val="00AF688E"/>
    <w:rsid w:val="00B34B7D"/>
    <w:rsid w:val="00B77804"/>
    <w:rsid w:val="00B97B6B"/>
    <w:rsid w:val="00BD4084"/>
    <w:rsid w:val="00C204D0"/>
    <w:rsid w:val="00C2435E"/>
    <w:rsid w:val="00C27C78"/>
    <w:rsid w:val="00D47AF4"/>
    <w:rsid w:val="00D82F16"/>
    <w:rsid w:val="00D925CF"/>
    <w:rsid w:val="00EF7D56"/>
    <w:rsid w:val="00F008D2"/>
    <w:rsid w:val="00F10195"/>
    <w:rsid w:val="00F37A35"/>
    <w:rsid w:val="00F40132"/>
    <w:rsid w:val="00F5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F0BDB"/>
  <w15:docId w15:val="{98CD25F0-829F-4E1D-86E1-83810BFA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D56"/>
    <w:rPr>
      <w:rFonts w:ascii="Times New Roman" w:eastAsia="Times New Roman" w:hAnsi="Times New Roman"/>
      <w:sz w:val="24"/>
      <w:szCs w:val="24"/>
    </w:rPr>
  </w:style>
  <w:style w:type="paragraph" w:styleId="1">
    <w:name w:val="heading 1"/>
    <w:basedOn w:val="a"/>
    <w:next w:val="a"/>
    <w:link w:val="10"/>
    <w:uiPriority w:val="99"/>
    <w:qFormat/>
    <w:rsid w:val="00007DBC"/>
    <w:pPr>
      <w:keepNext/>
      <w:keepLines/>
      <w:spacing w:before="480"/>
      <w:jc w:val="center"/>
      <w:outlineLvl w:val="0"/>
    </w:pPr>
    <w:rPr>
      <w:rFonts w:eastAsia="Calibri"/>
      <w:b/>
      <w:bCs/>
      <w:color w:val="000000"/>
      <w:sz w:val="28"/>
      <w:szCs w:val="28"/>
      <w:lang w:val="en-US" w:eastAsia="en-US"/>
    </w:rPr>
  </w:style>
  <w:style w:type="paragraph" w:styleId="3">
    <w:name w:val="heading 3"/>
    <w:basedOn w:val="a"/>
    <w:link w:val="30"/>
    <w:uiPriority w:val="99"/>
    <w:qFormat/>
    <w:rsid w:val="00007DBC"/>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Times New Roman"/>
      <w:b/>
      <w:bCs/>
      <w:kern w:val="32"/>
      <w:sz w:val="32"/>
      <w:szCs w:val="32"/>
    </w:rPr>
  </w:style>
  <w:style w:type="character" w:customStyle="1" w:styleId="Heading3Char">
    <w:name w:val="Heading 3 Char"/>
    <w:basedOn w:val="a0"/>
    <w:uiPriority w:val="99"/>
    <w:semiHidden/>
    <w:locked/>
    <w:rPr>
      <w:rFonts w:ascii="Cambria" w:hAnsi="Cambria" w:cs="Times New Roman"/>
      <w:b/>
      <w:bCs/>
      <w:sz w:val="26"/>
      <w:szCs w:val="26"/>
    </w:rPr>
  </w:style>
  <w:style w:type="character" w:customStyle="1" w:styleId="10">
    <w:name w:val="Заголовок 1 Знак"/>
    <w:basedOn w:val="a0"/>
    <w:link w:val="1"/>
    <w:uiPriority w:val="99"/>
    <w:locked/>
    <w:rsid w:val="00007DBC"/>
    <w:rPr>
      <w:rFonts w:ascii="Times New Roman" w:hAnsi="Times New Roman" w:cs="Times New Roman"/>
      <w:b/>
      <w:bCs/>
      <w:color w:val="000000"/>
      <w:sz w:val="28"/>
      <w:szCs w:val="28"/>
      <w:lang w:val="en-US"/>
    </w:rPr>
  </w:style>
  <w:style w:type="character" w:customStyle="1" w:styleId="30">
    <w:name w:val="Заголовок 3 Знак"/>
    <w:basedOn w:val="a0"/>
    <w:link w:val="3"/>
    <w:uiPriority w:val="99"/>
    <w:locked/>
    <w:rsid w:val="00007DBC"/>
    <w:rPr>
      <w:rFonts w:ascii="Times New Roman" w:hAnsi="Times New Roman" w:cs="Times New Roman"/>
      <w:b/>
      <w:bCs/>
      <w:sz w:val="27"/>
      <w:szCs w:val="27"/>
      <w:lang w:val="uk-UA" w:eastAsia="uk-UA"/>
    </w:rPr>
  </w:style>
  <w:style w:type="paragraph" w:styleId="a3">
    <w:name w:val="List Paragraph"/>
    <w:basedOn w:val="a"/>
    <w:uiPriority w:val="99"/>
    <w:qFormat/>
    <w:rsid w:val="00007DBC"/>
    <w:pPr>
      <w:ind w:left="720"/>
      <w:contextualSpacing/>
    </w:pPr>
  </w:style>
  <w:style w:type="paragraph" w:customStyle="1" w:styleId="rvps4">
    <w:name w:val="rvps4"/>
    <w:basedOn w:val="a"/>
    <w:uiPriority w:val="99"/>
    <w:rsid w:val="00007DBC"/>
    <w:pPr>
      <w:spacing w:before="100" w:beforeAutospacing="1" w:after="100" w:afterAutospacing="1"/>
    </w:pPr>
    <w:rPr>
      <w:lang w:val="uk-UA" w:eastAsia="uk-UA"/>
    </w:rPr>
  </w:style>
  <w:style w:type="paragraph" w:customStyle="1" w:styleId="rvps1">
    <w:name w:val="rvps1"/>
    <w:basedOn w:val="a"/>
    <w:uiPriority w:val="99"/>
    <w:rsid w:val="00007DBC"/>
    <w:pPr>
      <w:spacing w:before="100" w:beforeAutospacing="1" w:after="100" w:afterAutospacing="1"/>
    </w:pPr>
    <w:rPr>
      <w:lang w:val="uk-UA" w:eastAsia="uk-UA"/>
    </w:rPr>
  </w:style>
  <w:style w:type="character" w:customStyle="1" w:styleId="rvts15">
    <w:name w:val="rvts15"/>
    <w:basedOn w:val="a0"/>
    <w:uiPriority w:val="99"/>
    <w:rsid w:val="00007DBC"/>
    <w:rPr>
      <w:rFonts w:cs="Times New Roman"/>
    </w:rPr>
  </w:style>
  <w:style w:type="character" w:customStyle="1" w:styleId="rvts23">
    <w:name w:val="rvts23"/>
    <w:basedOn w:val="a0"/>
    <w:uiPriority w:val="99"/>
    <w:rsid w:val="00007DBC"/>
    <w:rPr>
      <w:rFonts w:cs="Times New Roman"/>
    </w:rPr>
  </w:style>
  <w:style w:type="paragraph" w:customStyle="1" w:styleId="rvps7">
    <w:name w:val="rvps7"/>
    <w:basedOn w:val="a"/>
    <w:uiPriority w:val="99"/>
    <w:rsid w:val="00007DBC"/>
    <w:pPr>
      <w:spacing w:before="100" w:beforeAutospacing="1" w:after="100" w:afterAutospacing="1"/>
    </w:pPr>
    <w:rPr>
      <w:lang w:val="uk-UA" w:eastAsia="uk-UA"/>
    </w:rPr>
  </w:style>
  <w:style w:type="character" w:customStyle="1" w:styleId="rvts9">
    <w:name w:val="rvts9"/>
    <w:basedOn w:val="a0"/>
    <w:uiPriority w:val="99"/>
    <w:rsid w:val="00007DBC"/>
    <w:rPr>
      <w:rFonts w:cs="Times New Roman"/>
    </w:rPr>
  </w:style>
  <w:style w:type="paragraph" w:customStyle="1" w:styleId="rvps6">
    <w:name w:val="rvps6"/>
    <w:basedOn w:val="a"/>
    <w:uiPriority w:val="99"/>
    <w:rsid w:val="00007DBC"/>
    <w:pPr>
      <w:spacing w:before="100" w:beforeAutospacing="1" w:after="100" w:afterAutospacing="1"/>
    </w:pPr>
    <w:rPr>
      <w:lang w:val="uk-UA" w:eastAsia="uk-UA"/>
    </w:rPr>
  </w:style>
  <w:style w:type="paragraph" w:customStyle="1" w:styleId="rvps2">
    <w:name w:val="rvps2"/>
    <w:basedOn w:val="a"/>
    <w:uiPriority w:val="99"/>
    <w:rsid w:val="00007DBC"/>
    <w:pPr>
      <w:spacing w:before="100" w:beforeAutospacing="1" w:after="100" w:afterAutospacing="1"/>
    </w:pPr>
    <w:rPr>
      <w:lang w:val="uk-UA" w:eastAsia="uk-UA"/>
    </w:rPr>
  </w:style>
  <w:style w:type="character" w:styleId="a4">
    <w:name w:val="Hyperlink"/>
    <w:basedOn w:val="a0"/>
    <w:uiPriority w:val="99"/>
    <w:rsid w:val="00007DBC"/>
    <w:rPr>
      <w:rFonts w:cs="Times New Roman"/>
      <w:color w:val="0000FF"/>
      <w:u w:val="single"/>
    </w:rPr>
  </w:style>
  <w:style w:type="character" w:customStyle="1" w:styleId="rvts52">
    <w:name w:val="rvts52"/>
    <w:basedOn w:val="a0"/>
    <w:uiPriority w:val="99"/>
    <w:rsid w:val="00007DBC"/>
    <w:rPr>
      <w:rFonts w:cs="Times New Roman"/>
    </w:rPr>
  </w:style>
  <w:style w:type="character" w:customStyle="1" w:styleId="rvts44">
    <w:name w:val="rvts44"/>
    <w:basedOn w:val="a0"/>
    <w:uiPriority w:val="99"/>
    <w:rsid w:val="00007DBC"/>
    <w:rPr>
      <w:rFonts w:cs="Times New Roman"/>
    </w:rPr>
  </w:style>
  <w:style w:type="paragraph" w:customStyle="1" w:styleId="rvps15">
    <w:name w:val="rvps15"/>
    <w:basedOn w:val="a"/>
    <w:uiPriority w:val="99"/>
    <w:rsid w:val="00007DBC"/>
    <w:pPr>
      <w:spacing w:before="100" w:beforeAutospacing="1" w:after="100" w:afterAutospacing="1"/>
    </w:pPr>
    <w:rPr>
      <w:lang w:val="uk-UA" w:eastAsia="uk-UA"/>
    </w:rPr>
  </w:style>
  <w:style w:type="character" w:customStyle="1" w:styleId="fontstyle01">
    <w:name w:val="fontstyle01"/>
    <w:basedOn w:val="a0"/>
    <w:uiPriority w:val="99"/>
    <w:rsid w:val="00007DBC"/>
    <w:rPr>
      <w:rFonts w:ascii="TimesNewRomanPS-BoldMT" w:hAnsi="TimesNewRomanPS-BoldMT" w:cs="Times New Roman"/>
      <w:b/>
      <w:bCs/>
      <w:color w:val="000000"/>
      <w:sz w:val="28"/>
      <w:szCs w:val="28"/>
    </w:rPr>
  </w:style>
  <w:style w:type="paragraph" w:styleId="a5">
    <w:name w:val="header"/>
    <w:basedOn w:val="a"/>
    <w:link w:val="a6"/>
    <w:uiPriority w:val="99"/>
    <w:rsid w:val="00007DBC"/>
    <w:pPr>
      <w:tabs>
        <w:tab w:val="center" w:pos="4677"/>
        <w:tab w:val="right" w:pos="9355"/>
      </w:tabs>
    </w:pPr>
  </w:style>
  <w:style w:type="character" w:customStyle="1" w:styleId="HeaderChar">
    <w:name w:val="Header Char"/>
    <w:basedOn w:val="a0"/>
    <w:uiPriority w:val="99"/>
    <w:semiHidden/>
    <w:locked/>
    <w:rPr>
      <w:rFonts w:ascii="Times New Roman" w:hAnsi="Times New Roman" w:cs="Times New Roman"/>
      <w:sz w:val="24"/>
      <w:szCs w:val="24"/>
    </w:rPr>
  </w:style>
  <w:style w:type="character" w:customStyle="1" w:styleId="a6">
    <w:name w:val="Верхній колонтитул Знак"/>
    <w:basedOn w:val="a0"/>
    <w:link w:val="a5"/>
    <w:uiPriority w:val="99"/>
    <w:locked/>
    <w:rsid w:val="00007DBC"/>
    <w:rPr>
      <w:rFonts w:ascii="Times New Roman" w:hAnsi="Times New Roman" w:cs="Times New Roman"/>
      <w:sz w:val="24"/>
      <w:szCs w:val="24"/>
      <w:lang w:eastAsia="ru-RU"/>
    </w:rPr>
  </w:style>
  <w:style w:type="paragraph" w:styleId="a7">
    <w:name w:val="footer"/>
    <w:basedOn w:val="a"/>
    <w:link w:val="a8"/>
    <w:uiPriority w:val="99"/>
    <w:rsid w:val="00007DBC"/>
    <w:pPr>
      <w:tabs>
        <w:tab w:val="center" w:pos="4677"/>
        <w:tab w:val="right" w:pos="9355"/>
      </w:tabs>
    </w:pPr>
  </w:style>
  <w:style w:type="character" w:customStyle="1" w:styleId="FooterChar">
    <w:name w:val="Footer Char"/>
    <w:basedOn w:val="a0"/>
    <w:uiPriority w:val="99"/>
    <w:semiHidden/>
    <w:locked/>
    <w:rPr>
      <w:rFonts w:ascii="Times New Roman" w:hAnsi="Times New Roman" w:cs="Times New Roman"/>
      <w:sz w:val="24"/>
      <w:szCs w:val="24"/>
    </w:rPr>
  </w:style>
  <w:style w:type="character" w:customStyle="1" w:styleId="a8">
    <w:name w:val="Нижній колонтитул Знак"/>
    <w:basedOn w:val="a0"/>
    <w:link w:val="a7"/>
    <w:uiPriority w:val="99"/>
    <w:locked/>
    <w:rsid w:val="00007DBC"/>
    <w:rPr>
      <w:rFonts w:ascii="Times New Roman" w:hAnsi="Times New Roman" w:cs="Times New Roman"/>
      <w:sz w:val="24"/>
      <w:szCs w:val="24"/>
      <w:lang w:eastAsia="ru-RU"/>
    </w:rPr>
  </w:style>
  <w:style w:type="character" w:customStyle="1" w:styleId="rvts0">
    <w:name w:val="rvts0"/>
    <w:uiPriority w:val="99"/>
    <w:rsid w:val="00007DBC"/>
  </w:style>
  <w:style w:type="paragraph" w:styleId="a9">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a"/>
    <w:uiPriority w:val="99"/>
    <w:rsid w:val="00007DBC"/>
    <w:pPr>
      <w:spacing w:before="100" w:beforeAutospacing="1" w:after="100" w:afterAutospacing="1"/>
    </w:pPr>
    <w:rPr>
      <w:sz w:val="20"/>
      <w:szCs w:val="20"/>
    </w:rPr>
  </w:style>
  <w:style w:type="character" w:customStyle="1" w:styleId="aa">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basedOn w:val="a0"/>
    <w:link w:val="a9"/>
    <w:uiPriority w:val="99"/>
    <w:locked/>
    <w:rsid w:val="00007DBC"/>
    <w:rPr>
      <w:rFonts w:ascii="Times New Roman" w:hAnsi="Times New Roman" w:cs="Times New Roman"/>
      <w:sz w:val="20"/>
      <w:szCs w:val="20"/>
      <w:lang w:eastAsia="ru-RU"/>
    </w:rPr>
  </w:style>
  <w:style w:type="paragraph" w:styleId="ab">
    <w:name w:val="Balloon Text"/>
    <w:basedOn w:val="a"/>
    <w:link w:val="ac"/>
    <w:uiPriority w:val="99"/>
    <w:semiHidden/>
    <w:rsid w:val="00007DBC"/>
    <w:rPr>
      <w:rFonts w:ascii="Segoe UI" w:hAnsi="Segoe UI" w:cs="Segoe UI"/>
      <w:sz w:val="18"/>
      <w:szCs w:val="18"/>
    </w:rPr>
  </w:style>
  <w:style w:type="character" w:customStyle="1" w:styleId="BalloonTextChar">
    <w:name w:val="Balloon Text Char"/>
    <w:basedOn w:val="a0"/>
    <w:uiPriority w:val="99"/>
    <w:semiHidden/>
    <w:locked/>
    <w:rPr>
      <w:rFonts w:ascii="Times New Roman" w:hAnsi="Times New Roman" w:cs="Times New Roman"/>
      <w:sz w:val="2"/>
    </w:rPr>
  </w:style>
  <w:style w:type="character" w:customStyle="1" w:styleId="ac">
    <w:name w:val="Текст у виносці Знак"/>
    <w:basedOn w:val="a0"/>
    <w:link w:val="ab"/>
    <w:uiPriority w:val="99"/>
    <w:semiHidden/>
    <w:locked/>
    <w:rsid w:val="00007DBC"/>
    <w:rPr>
      <w:rFonts w:ascii="Segoe UI" w:hAnsi="Segoe UI" w:cs="Segoe UI"/>
      <w:sz w:val="18"/>
      <w:szCs w:val="18"/>
      <w:lang w:eastAsia="ru-RU"/>
    </w:rPr>
  </w:style>
  <w:style w:type="character" w:customStyle="1" w:styleId="rvts40">
    <w:name w:val="rvts40"/>
    <w:uiPriority w:val="99"/>
    <w:rsid w:val="002B7523"/>
  </w:style>
  <w:style w:type="paragraph" w:customStyle="1" w:styleId="rvps12">
    <w:name w:val="rvps12"/>
    <w:basedOn w:val="a"/>
    <w:uiPriority w:val="99"/>
    <w:rsid w:val="002B7523"/>
    <w:pPr>
      <w:spacing w:before="100" w:after="100"/>
    </w:pPr>
    <w:rPr>
      <w:lang w:val="uk-UA" w:eastAsia="uk-UA"/>
    </w:rPr>
  </w:style>
  <w:style w:type="character" w:customStyle="1" w:styleId="st121">
    <w:name w:val="st121"/>
    <w:uiPriority w:val="99"/>
    <w:rsid w:val="008531F1"/>
    <w:rPr>
      <w:i/>
      <w:iCs/>
      <w:color w:val="000000"/>
    </w:rPr>
  </w:style>
  <w:style w:type="character" w:customStyle="1" w:styleId="st46">
    <w:name w:val="st46"/>
    <w:uiPriority w:val="99"/>
    <w:rsid w:val="008531F1"/>
    <w:rPr>
      <w:i/>
      <w:iCs/>
      <w:color w:val="000000"/>
    </w:rPr>
  </w:style>
  <w:style w:type="character" w:customStyle="1" w:styleId="st131">
    <w:name w:val="st131"/>
    <w:uiPriority w:val="99"/>
    <w:rsid w:val="00437545"/>
    <w:rPr>
      <w:i/>
      <w:iCs/>
      <w:color w:val="0000FF"/>
    </w:rPr>
  </w:style>
  <w:style w:type="character" w:customStyle="1" w:styleId="st42">
    <w:name w:val="st42"/>
    <w:uiPriority w:val="99"/>
    <w:rsid w:val="00AF1C6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8295</Words>
  <Characters>4729</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5</cp:revision>
  <cp:lastPrinted>2021-12-21T14:24:00Z</cp:lastPrinted>
  <dcterms:created xsi:type="dcterms:W3CDTF">2022-12-13T07:11:00Z</dcterms:created>
  <dcterms:modified xsi:type="dcterms:W3CDTF">2022-12-13T07:13:00Z</dcterms:modified>
</cp:coreProperties>
</file>