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61" w:rsidRPr="00B401F7" w:rsidRDefault="00685E61" w:rsidP="00E20D75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B401F7">
        <w:rPr>
          <w:rFonts w:ascii="Times New Roman" w:hAnsi="Times New Roman"/>
          <w:sz w:val="24"/>
          <w:szCs w:val="24"/>
          <w:lang w:eastAsia="uk-UA"/>
        </w:rPr>
        <w:t>Додаток 2</w:t>
      </w:r>
      <w:r w:rsidR="006B2144">
        <w:rPr>
          <w:rFonts w:ascii="Times New Roman" w:hAnsi="Times New Roman"/>
          <w:sz w:val="24"/>
          <w:szCs w:val="24"/>
          <w:lang w:eastAsia="uk-UA"/>
        </w:rPr>
        <w:t>3</w:t>
      </w:r>
    </w:p>
    <w:p w:rsidR="00685E61" w:rsidRPr="00B401F7" w:rsidRDefault="00685E61" w:rsidP="00E20D75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uk-UA"/>
        </w:rPr>
      </w:pPr>
      <w:r w:rsidRPr="00B401F7">
        <w:rPr>
          <w:rFonts w:ascii="Times New Roman" w:hAnsi="Times New Roman"/>
          <w:sz w:val="24"/>
          <w:szCs w:val="24"/>
          <w:lang w:eastAsia="uk-UA"/>
        </w:rPr>
        <w:t>до Порядку контролю за дотриманням ліцензіатами, що провадять діяльність у сферах енергетики та комунальних послуг, законодавства у відповідних сферах та ліцензійних умов</w:t>
      </w:r>
    </w:p>
    <w:p w:rsidR="00685E61" w:rsidRPr="007A42ED" w:rsidRDefault="00685E61" w:rsidP="007A42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85E61" w:rsidRPr="007A42ED" w:rsidRDefault="00685E61" w:rsidP="007A42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A42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МЕТОДИКА </w:t>
      </w:r>
    </w:p>
    <w:p w:rsidR="00685E61" w:rsidRDefault="00685E61" w:rsidP="007A42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A42E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визначення сум надлишково отриманого або недоотриманого доходу постачальників універсальних послуг від здійснення ліцензованої діяльності з постачання електричної енергії споживачу</w:t>
      </w:r>
    </w:p>
    <w:p w:rsidR="00685E61" w:rsidRPr="007A42ED" w:rsidRDefault="00685E61" w:rsidP="007A42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1. Положення цього додатк</w:t>
      </w:r>
      <w:r>
        <w:rPr>
          <w:sz w:val="28"/>
          <w:szCs w:val="28"/>
        </w:rPr>
        <w:t>а</w:t>
      </w:r>
      <w:r w:rsidRPr="007A42ED">
        <w:rPr>
          <w:sz w:val="28"/>
          <w:szCs w:val="28"/>
        </w:rPr>
        <w:t xml:space="preserve"> застосовуються членами комісії з перевірки під час проведення планових або позапланових перевірок ліцензіатів НКРЕКП з постачання електричної енергії споживачу, які відповідно до вимог нормативно-правових актів виконують функції постачальника універсальних послуг.</w:t>
      </w: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2. Інформація щодо вартісних показників в акті перевірки має бути відображена в тис. грн з точністю до двох цифр після коми без податку на додану вартість. Інформація щодо показників у відсотковому значенні в акті перевірки має бути відображена у % з точністю до двох цифр після коми.</w:t>
      </w: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 xml:space="preserve">3. Звітний рік </w:t>
      </w:r>
      <w:r>
        <w:rPr>
          <w:sz w:val="28"/>
          <w:szCs w:val="28"/>
        </w:rPr>
        <w:t>–</w:t>
      </w:r>
      <w:r w:rsidRPr="007A42ED">
        <w:rPr>
          <w:sz w:val="28"/>
          <w:szCs w:val="28"/>
        </w:rPr>
        <w:t xml:space="preserve"> період діяльності ліцензіата з постачання електричної енергії, який перевіряється та який дорівнює календарному року.</w:t>
      </w: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4. З метою визначення об’єктивної суми коштів, отриманої для фінансування ліцензованої діяльності</w:t>
      </w:r>
      <w:r>
        <w:rPr>
          <w:sz w:val="28"/>
          <w:szCs w:val="28"/>
        </w:rPr>
        <w:t>,</w:t>
      </w:r>
      <w:r w:rsidRPr="007A42ED">
        <w:rPr>
          <w:sz w:val="28"/>
          <w:szCs w:val="28"/>
        </w:rPr>
        <w:t xml:space="preserve"> при проведенні планових або позапланових перевірок в акті перевірки фіксуються такі показники: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1) фактична сума частини чистого прибутку (дивідендів) на державну частку акцій, нараховану за підсумками попереднього року та виплачену у звітному році відповідно до платіжних доручень, наданих ліцензіатом;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2) рівень розрахунків станом на 01 січня року, наступного за звітним: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 xml:space="preserve">постачальника універсальних послуг з державним підприємством «Енергоринок» (далі </w:t>
      </w:r>
      <w:r>
        <w:rPr>
          <w:sz w:val="28"/>
          <w:szCs w:val="28"/>
        </w:rPr>
        <w:t>–</w:t>
      </w:r>
      <w:r w:rsidRPr="007A42ED">
        <w:rPr>
          <w:sz w:val="28"/>
          <w:szCs w:val="28"/>
        </w:rPr>
        <w:t xml:space="preserve"> ДП «Енергоринок») за куповану у 2019 році електричну енергію. </w:t>
      </w:r>
      <w:r>
        <w:rPr>
          <w:sz w:val="28"/>
          <w:szCs w:val="28"/>
        </w:rPr>
        <w:t>У</w:t>
      </w:r>
      <w:r w:rsidRPr="007A42ED">
        <w:rPr>
          <w:sz w:val="28"/>
          <w:szCs w:val="28"/>
        </w:rPr>
        <w:t xml:space="preserve"> подальшому фіксується рівень заборгованості перед ДП «Енергоринок» станом на початок та кінець звітного року;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постачальника універсальних послуг з гарантованим покупцем за куповану у звітному році електричну енергію;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постачальника універсальних послуг з оператором системи передачі за послуги з передачі електричн</w:t>
      </w:r>
      <w:r>
        <w:rPr>
          <w:sz w:val="28"/>
          <w:szCs w:val="28"/>
        </w:rPr>
        <w:t>ої</w:t>
      </w:r>
      <w:r w:rsidRPr="007A42ED">
        <w:rPr>
          <w:sz w:val="28"/>
          <w:szCs w:val="28"/>
        </w:rPr>
        <w:t xml:space="preserve"> енергі</w:t>
      </w:r>
      <w:r>
        <w:rPr>
          <w:sz w:val="28"/>
          <w:szCs w:val="28"/>
        </w:rPr>
        <w:t>ї</w:t>
      </w:r>
      <w:r w:rsidRPr="007A42ED">
        <w:rPr>
          <w:sz w:val="28"/>
          <w:szCs w:val="28"/>
        </w:rPr>
        <w:t xml:space="preserve"> у звітному році;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оператора системи передачі з постачальником універсальних послуг за послугу із забезпечення збільшення частки виробництва електричної енергії з альтернативних джерел енергії у звітному році;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постачальника універсальних послуг з оператором системи розподілу за послуги з розподілу електричної енергії у звітному році;</w:t>
      </w: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lastRenderedPageBreak/>
        <w:t>3) штрафні санкції та пені за несвоєчасну оплату купованої електричної енергії в ДП «Енергоринок», сплачені ліцензіатом у звітному році;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4) сума недофінансування статей витрат структури тарифу у звітному році;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5) сума обґрунтованих перевитрат статей витрат структури тарифів у звітному році;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6) додатково отриманий (недоотриманий) дохід ліцензіата внаслідок збільшення (зменшення) фактичних обсягів постачання електричної енергії в частині надання універсальних послуг порівняно із затвердженими в тарифах на послуги постачання універсальних послуг. Такий дохід визначається на підставі фактичного обсягу постачання електричної енергії у звітному році (за даними </w:t>
      </w:r>
      <w:hyperlink r:id="rId6" w:anchor="n290" w:tgtFrame="_blank" w:history="1">
        <w:r w:rsidRPr="007A42ED">
          <w:rPr>
            <w:rStyle w:val="a3"/>
            <w:color w:val="auto"/>
            <w:sz w:val="28"/>
            <w:szCs w:val="28"/>
            <w:u w:val="none"/>
          </w:rPr>
          <w:t>форми звітності № 3-НКРЕКП-постачання електричної енергії (квартальна)</w:t>
        </w:r>
      </w:hyperlink>
      <w:r w:rsidRPr="007A42ED">
        <w:rPr>
          <w:sz w:val="28"/>
          <w:szCs w:val="28"/>
        </w:rPr>
        <w:t xml:space="preserve"> «Звіт про фінансові результати та виконання структури тарифів за видами діяльності», затвердженої постановою НКРЕКП від 28 лютого 2019 року № 282 (далі </w:t>
      </w:r>
      <w:r>
        <w:rPr>
          <w:sz w:val="28"/>
          <w:szCs w:val="28"/>
        </w:rPr>
        <w:t>–</w:t>
      </w:r>
      <w:r w:rsidRPr="007A42ED">
        <w:rPr>
          <w:sz w:val="28"/>
          <w:szCs w:val="28"/>
        </w:rPr>
        <w:t xml:space="preserve"> форма звітності № 3-НКРЕКП-постачання електричної енергії)</w:t>
      </w:r>
      <w:r>
        <w:rPr>
          <w:sz w:val="28"/>
          <w:szCs w:val="28"/>
        </w:rPr>
        <w:t>)</w:t>
      </w:r>
      <w:r w:rsidRPr="007A42ED">
        <w:rPr>
          <w:sz w:val="28"/>
          <w:szCs w:val="28"/>
        </w:rPr>
        <w:t xml:space="preserve"> та затверджених рівнів тарифів на послуги постачання універсальних послуг, які діяли у відповідні періоди звітного року</w:t>
      </w:r>
      <w:r>
        <w:rPr>
          <w:sz w:val="28"/>
          <w:szCs w:val="28"/>
        </w:rPr>
        <w:t>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7) коригування прогнозованої суми компенсації втрат на фактичні обсяги споживання електричної енергії у квітні, травні та червні 2019 року відповідно до </w:t>
      </w:r>
      <w:hyperlink r:id="rId7" w:anchor="n10" w:tgtFrame="_blank" w:history="1">
        <w:r w:rsidRPr="007A42ED">
          <w:rPr>
            <w:rStyle w:val="a3"/>
            <w:color w:val="auto"/>
            <w:sz w:val="28"/>
            <w:szCs w:val="28"/>
            <w:u w:val="none"/>
          </w:rPr>
          <w:t>Порядку розрахунку суми компенсації втрат ліцензіатів від постачання електричної енергії побутовим споживачам (населенню)</w:t>
        </w:r>
      </w:hyperlink>
      <w:r w:rsidRPr="007A42ED">
        <w:rPr>
          <w:sz w:val="28"/>
          <w:szCs w:val="28"/>
        </w:rPr>
        <w:t>, затвердженого постановою НКРЕКП від 29 серпня 2017 року № 1050, яке не враховано внаслідок запровадження повномасштабного ринку електричної енергії з 01</w:t>
      </w:r>
      <w:r>
        <w:rPr>
          <w:sz w:val="28"/>
          <w:szCs w:val="28"/>
        </w:rPr>
        <w:t> </w:t>
      </w:r>
      <w:r w:rsidRPr="007A42ED">
        <w:rPr>
          <w:sz w:val="28"/>
          <w:szCs w:val="28"/>
        </w:rPr>
        <w:t>липня 2019 року;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8) суми компенсації втрат за квітень, травень та червень 2019 року від постачання електричної енергії побутовим споживачам (населенню), які розраховуються за тарифами, диференційованими за періодами часу, відповідно до </w:t>
      </w:r>
      <w:hyperlink r:id="rId8" w:anchor="n10" w:tgtFrame="_blank" w:history="1">
        <w:r w:rsidRPr="007A42ED">
          <w:rPr>
            <w:rStyle w:val="a3"/>
            <w:color w:val="auto"/>
            <w:sz w:val="28"/>
            <w:szCs w:val="28"/>
            <w:u w:val="none"/>
          </w:rPr>
          <w:t>Порядку розрахунку суми компенсації втрат ліцензіатів від постачання електричної енергії побутовим споживачам (населенню), які розраховуються за тарифами, диференційованими за періодами часу</w:t>
        </w:r>
      </w:hyperlink>
      <w:r w:rsidRPr="007A42ED">
        <w:rPr>
          <w:sz w:val="28"/>
          <w:szCs w:val="28"/>
        </w:rPr>
        <w:t xml:space="preserve">, затвердженого постановою НКРЕКП від 27 грудня 2017 року № 1420, </w:t>
      </w:r>
      <w:r>
        <w:rPr>
          <w:sz w:val="28"/>
          <w:szCs w:val="28"/>
        </w:rPr>
        <w:t>що</w:t>
      </w:r>
      <w:r w:rsidRPr="007A42ED">
        <w:rPr>
          <w:sz w:val="28"/>
          <w:szCs w:val="28"/>
        </w:rPr>
        <w:t xml:space="preserve"> не врахован</w:t>
      </w:r>
      <w:r>
        <w:rPr>
          <w:sz w:val="28"/>
          <w:szCs w:val="28"/>
        </w:rPr>
        <w:t>і</w:t>
      </w:r>
      <w:r w:rsidRPr="007A42ED">
        <w:rPr>
          <w:sz w:val="28"/>
          <w:szCs w:val="28"/>
        </w:rPr>
        <w:t xml:space="preserve"> внаслідок запровадження повномасштабного ринку електричної енергії з 01 липня 2019</w:t>
      </w:r>
      <w:r>
        <w:rPr>
          <w:sz w:val="28"/>
          <w:szCs w:val="28"/>
        </w:rPr>
        <w:t> </w:t>
      </w:r>
      <w:r w:rsidRPr="007A42ED">
        <w:rPr>
          <w:sz w:val="28"/>
          <w:szCs w:val="28"/>
        </w:rPr>
        <w:t>року;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ED">
        <w:rPr>
          <w:rFonts w:ascii="Times New Roman" w:hAnsi="Times New Roman"/>
          <w:sz w:val="28"/>
          <w:szCs w:val="28"/>
        </w:rPr>
        <w:t>9) сума сплаченого податку на прибуток у звітному році в частині надання універсальних послуг, який обраховується як добуток між обсягом сплаченого податку на прибуток у звітному році відповідно до платіжних доручень та співвідношенням між фактичними операційними витратами, пов’язаними із наданням універсальних послуг</w:t>
      </w:r>
      <w:r>
        <w:rPr>
          <w:rFonts w:ascii="Times New Roman" w:hAnsi="Times New Roman"/>
          <w:sz w:val="28"/>
          <w:szCs w:val="28"/>
        </w:rPr>
        <w:t>,</w:t>
      </w:r>
      <w:r w:rsidRPr="007A42ED">
        <w:rPr>
          <w:rFonts w:ascii="Times New Roman" w:hAnsi="Times New Roman"/>
          <w:sz w:val="28"/>
          <w:szCs w:val="28"/>
        </w:rPr>
        <w:t xml:space="preserve"> та сумарними витратами за даними </w:t>
      </w:r>
      <w:hyperlink r:id="rId9" w:anchor="n290" w:tgtFrame="_blank" w:history="1">
        <w:r w:rsidRPr="007A42E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форми звітності № 3-НКРЕКП-постачання електричної енергії</w:t>
        </w:r>
      </w:hyperlink>
      <w:r w:rsidRPr="007A42ED">
        <w:rPr>
          <w:rFonts w:ascii="Times New Roman" w:hAnsi="Times New Roman"/>
          <w:sz w:val="28"/>
          <w:szCs w:val="28"/>
        </w:rPr>
        <w:t>.</w:t>
      </w:r>
    </w:p>
    <w:p w:rsidR="003740C0" w:rsidRPr="003740C0" w:rsidRDefault="003740C0" w:rsidP="007A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0C0">
        <w:rPr>
          <w:rStyle w:val="st42"/>
          <w:rFonts w:ascii="Times New Roman" w:hAnsi="Times New Roman"/>
          <w:sz w:val="28"/>
          <w:szCs w:val="28"/>
        </w:rPr>
        <w:t>10) обсяги та вартість небалансів електричної енергії, які спричинені перемиканнями мереж між торговими зонами «Острів Бурштинської ТЕС» та «ОЕС України», визначені на підставі даних ОСП та ОСР у звітному році.</w:t>
      </w: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lastRenderedPageBreak/>
        <w:t>5. Загальна сума додатково отриманого або недоотриманого доходу від ліцензованої діяльності у звітному році визначається як сума таких складових: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520"/>
      <w:bookmarkEnd w:id="1"/>
      <w:r w:rsidRPr="007A42ED">
        <w:rPr>
          <w:sz w:val="28"/>
          <w:szCs w:val="28"/>
        </w:rPr>
        <w:t>1) додатково отриманий (недоотриманий) дохід ліцензіата внаслідок збільшення (зменшення) фактичних обсягів постачання електричної енергії  постачальників універсальних послуг порівняно із затвердженими в тарифах на послуги постачання універсальних послуг з урахуванням очікуваного додаткового (недоотриманого) доходу від збільшення (зменшення) обсягів постачання електричної енергії постачальників універсальних послуг у звітному році, який уже було враховано у структурах тарифів;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ED">
        <w:rPr>
          <w:rFonts w:ascii="Times New Roman" w:hAnsi="Times New Roman"/>
          <w:sz w:val="28"/>
          <w:szCs w:val="28"/>
        </w:rPr>
        <w:t>2) сума недофінансування статей витрат структури тарифів у звітному році.</w:t>
      </w:r>
    </w:p>
    <w:p w:rsidR="00685E61" w:rsidRPr="007A42ED" w:rsidRDefault="00685E61" w:rsidP="007A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6. Об’єктивними чинниками недофінансування ліцензованої діяльності вважаються: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1) сплачена у звітному році сума частини чистого прибутку (дивідендів) на державну частку акцій за підсумками попереднього року, що передує звітному року, відповідно до платіжних доручень, наданих ліцензіатом;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2ED">
        <w:rPr>
          <w:sz w:val="28"/>
          <w:szCs w:val="28"/>
        </w:rPr>
        <w:t>2) сума обґрунтованих перевитрат статей витрат структури тарифів у звітному році;</w:t>
      </w:r>
    </w:p>
    <w:p w:rsidR="00685E61" w:rsidRPr="007A42ED" w:rsidRDefault="00685E61" w:rsidP="007A42E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Pr="003740C0" w:rsidRDefault="00685E61" w:rsidP="003740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st42"/>
          <w:sz w:val="28"/>
          <w:szCs w:val="28"/>
        </w:rPr>
      </w:pPr>
      <w:r w:rsidRPr="007A42ED">
        <w:rPr>
          <w:sz w:val="28"/>
          <w:szCs w:val="28"/>
        </w:rPr>
        <w:t>3</w:t>
      </w:r>
      <w:r w:rsidRPr="003740C0">
        <w:rPr>
          <w:sz w:val="28"/>
          <w:szCs w:val="28"/>
        </w:rPr>
        <w:t xml:space="preserve">) </w:t>
      </w:r>
      <w:r w:rsidR="003740C0" w:rsidRPr="003740C0">
        <w:rPr>
          <w:rStyle w:val="st42"/>
          <w:sz w:val="28"/>
          <w:szCs w:val="28"/>
        </w:rPr>
        <w:t>вартість небалансів електричної енергії, які спричинені перемиканнями мереж між торговими зонами «Острів Бурштинської ТЕС» та «</w:t>
      </w:r>
      <w:r w:rsidR="003740C0">
        <w:rPr>
          <w:rStyle w:val="st42"/>
          <w:sz w:val="28"/>
          <w:szCs w:val="28"/>
        </w:rPr>
        <w:t>ОЕС України», у звітному році.</w:t>
      </w:r>
    </w:p>
    <w:p w:rsidR="003740C0" w:rsidRPr="003740C0" w:rsidRDefault="003740C0" w:rsidP="003740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E61" w:rsidRDefault="00685E61" w:rsidP="007A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ED">
        <w:rPr>
          <w:rFonts w:ascii="Times New Roman" w:hAnsi="Times New Roman"/>
          <w:sz w:val="28"/>
          <w:szCs w:val="28"/>
        </w:rPr>
        <w:t>7. Підсумкова сума надлишково отриманого або недоотриманого доходу від здійснення ліцензованої діяльності у звітному році визначається як різниця між сумою, розрахованою відповідно до пункту 5 цього додатк</w:t>
      </w:r>
      <w:r>
        <w:rPr>
          <w:rFonts w:ascii="Times New Roman" w:hAnsi="Times New Roman"/>
          <w:sz w:val="28"/>
          <w:szCs w:val="28"/>
        </w:rPr>
        <w:t>а</w:t>
      </w:r>
      <w:r w:rsidRPr="007A42ED">
        <w:rPr>
          <w:rFonts w:ascii="Times New Roman" w:hAnsi="Times New Roman"/>
          <w:sz w:val="28"/>
          <w:szCs w:val="28"/>
        </w:rPr>
        <w:t>, та сумою об’єктивних чинників недофінансування ліцензованої діяльності, зазначених у пункті 6 цього додатк</w:t>
      </w:r>
      <w:r>
        <w:rPr>
          <w:rFonts w:ascii="Times New Roman" w:hAnsi="Times New Roman"/>
          <w:sz w:val="28"/>
          <w:szCs w:val="28"/>
        </w:rPr>
        <w:t>а</w:t>
      </w:r>
      <w:r w:rsidRPr="007A42ED">
        <w:rPr>
          <w:rFonts w:ascii="Times New Roman" w:hAnsi="Times New Roman"/>
          <w:sz w:val="28"/>
          <w:szCs w:val="28"/>
        </w:rPr>
        <w:t>.</w:t>
      </w:r>
    </w:p>
    <w:p w:rsidR="00685E61" w:rsidRPr="007A42ED" w:rsidRDefault="00685E61" w:rsidP="007A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E61" w:rsidRDefault="00685E61" w:rsidP="007A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ED">
        <w:rPr>
          <w:rFonts w:ascii="Times New Roman" w:hAnsi="Times New Roman"/>
          <w:sz w:val="28"/>
          <w:szCs w:val="28"/>
        </w:rPr>
        <w:t>8. Позитивна сума, визначена згідно з пунктом 7 цього додатк</w:t>
      </w:r>
      <w:r>
        <w:rPr>
          <w:rFonts w:ascii="Times New Roman" w:hAnsi="Times New Roman"/>
          <w:sz w:val="28"/>
          <w:szCs w:val="28"/>
        </w:rPr>
        <w:t>а</w:t>
      </w:r>
      <w:r w:rsidRPr="007A42ED">
        <w:rPr>
          <w:rFonts w:ascii="Times New Roman" w:hAnsi="Times New Roman"/>
          <w:sz w:val="28"/>
          <w:szCs w:val="28"/>
        </w:rPr>
        <w:t>, коригується на індекс споживчих цін на товари та послуги з грудня звітного року до грудня попереднього року (використовується інформація, оприлюднена на офіційному вебсайті Державної служби статистики України) та підлягає вилученню зі структури тарифів ліцензіата.</w:t>
      </w:r>
    </w:p>
    <w:p w:rsidR="00685E61" w:rsidRPr="007A42ED" w:rsidRDefault="00685E61" w:rsidP="007A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E61" w:rsidRPr="007A42ED" w:rsidRDefault="00685E61" w:rsidP="007A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ED">
        <w:rPr>
          <w:rFonts w:ascii="Times New Roman" w:hAnsi="Times New Roman"/>
          <w:sz w:val="28"/>
          <w:szCs w:val="28"/>
        </w:rPr>
        <w:t>9. Від’ємна сума, визначена згідно з пунктом 7 цього додатк</w:t>
      </w:r>
      <w:r>
        <w:rPr>
          <w:rFonts w:ascii="Times New Roman" w:hAnsi="Times New Roman"/>
          <w:sz w:val="28"/>
          <w:szCs w:val="28"/>
        </w:rPr>
        <w:t>а</w:t>
      </w:r>
      <w:r w:rsidRPr="007A42ED">
        <w:rPr>
          <w:rFonts w:ascii="Times New Roman" w:hAnsi="Times New Roman"/>
          <w:sz w:val="28"/>
          <w:szCs w:val="28"/>
        </w:rPr>
        <w:t>, коригується на індекс споживчих цін на товари та послуги з грудня звітного року до грудня попереднього року (використовується інформація, оприлюднена на офіційному вебсайті Державної служби статистики України) та підлягає включенню до структури тарифів ліцензіата.</w:t>
      </w:r>
    </w:p>
    <w:p w:rsidR="00BC366B" w:rsidRDefault="00BC366B" w:rsidP="007A42E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479B" w:rsidRPr="00EF3B0B" w:rsidRDefault="00EF3B0B" w:rsidP="007A42ED">
      <w:pPr>
        <w:spacing w:after="0" w:line="240" w:lineRule="auto"/>
        <w:ind w:firstLine="709"/>
        <w:jc w:val="both"/>
        <w:rPr>
          <w:rStyle w:val="st42"/>
          <w:rFonts w:ascii="Times New Roman" w:hAnsi="Times New Roman"/>
          <w:sz w:val="28"/>
          <w:szCs w:val="28"/>
        </w:rPr>
      </w:pPr>
      <w:r w:rsidRPr="00EF3B0B">
        <w:rPr>
          <w:rStyle w:val="st42"/>
          <w:rFonts w:ascii="Times New Roman" w:hAnsi="Times New Roman"/>
          <w:sz w:val="28"/>
          <w:szCs w:val="28"/>
        </w:rPr>
        <w:lastRenderedPageBreak/>
        <w:t>10. При здійсненні заходів контролю за результатами діяльності з постачання електричної енергії у 2022 році підсумкова сума надлишково отриманого або недоотриманого доходу від здійснення ліцензованої діяльності у звітному році, визначена згідно з пунктом 7 цього додатка, не коригується на індекс споживчих цін на товари та послуги.</w:t>
      </w:r>
    </w:p>
    <w:p w:rsidR="00EF3B0B" w:rsidRDefault="00EF3B0B" w:rsidP="007A42E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C366B" w:rsidRPr="00EF3B0B" w:rsidRDefault="00BC366B" w:rsidP="006B2144">
      <w:pPr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32"/>
          <w:szCs w:val="28"/>
        </w:rPr>
      </w:pPr>
      <w:r w:rsidRPr="00EF3B0B">
        <w:rPr>
          <w:rStyle w:val="st46"/>
          <w:rFonts w:ascii="Times New Roman" w:hAnsi="Times New Roman"/>
          <w:color w:val="404040" w:themeColor="text1" w:themeTint="BF"/>
          <w:sz w:val="24"/>
        </w:rPr>
        <w:t xml:space="preserve">{Додаток в редакції Постанови Національної комісії, що здійснює державне регулювання у сферах енергетики та комунальних послуг </w:t>
      </w:r>
      <w:r w:rsidRPr="00EF3B0B">
        <w:rPr>
          <w:rStyle w:val="st131"/>
          <w:rFonts w:ascii="Times New Roman" w:hAnsi="Times New Roman"/>
          <w:color w:val="404040" w:themeColor="text1" w:themeTint="BF"/>
          <w:sz w:val="24"/>
        </w:rPr>
        <w:t>№ 935 від 09.06.2021</w:t>
      </w:r>
      <w:r w:rsidR="003740C0" w:rsidRPr="00EF3B0B">
        <w:rPr>
          <w:rStyle w:val="st121"/>
          <w:rFonts w:ascii="Times New Roman" w:hAnsi="Times New Roman"/>
          <w:color w:val="404040" w:themeColor="text1" w:themeTint="BF"/>
          <w:sz w:val="24"/>
          <w:szCs w:val="24"/>
          <w:lang w:val="x-none" w:eastAsia="ru-RU"/>
        </w:rPr>
        <w:t>; із змінам</w:t>
      </w:r>
      <w:r w:rsidR="00EF3B0B" w:rsidRPr="00EF3B0B">
        <w:rPr>
          <w:rStyle w:val="st121"/>
          <w:rFonts w:ascii="Times New Roman" w:hAnsi="Times New Roman"/>
          <w:color w:val="404040" w:themeColor="text1" w:themeTint="BF"/>
          <w:sz w:val="24"/>
          <w:szCs w:val="24"/>
          <w:lang w:val="x-none" w:eastAsia="ru-RU"/>
        </w:rPr>
        <w:t>и, внесеними згідно з Постановами</w:t>
      </w:r>
      <w:r w:rsidR="003740C0" w:rsidRPr="00EF3B0B">
        <w:rPr>
          <w:rStyle w:val="st121"/>
          <w:rFonts w:ascii="Times New Roman" w:hAnsi="Times New Roman"/>
          <w:color w:val="404040" w:themeColor="text1" w:themeTint="BF"/>
          <w:sz w:val="24"/>
          <w:szCs w:val="24"/>
          <w:lang w:val="x-none" w:eastAsia="ru-RU"/>
        </w:rPr>
        <w:t xml:space="preserve"> Національної комісії, що здійснює державне регулювання у сферах енергетики та комунальних послуг № 2585 від 17.12.2021</w:t>
      </w:r>
      <w:r w:rsidR="00EF3B0B" w:rsidRPr="00EF3B0B">
        <w:rPr>
          <w:rStyle w:val="st121"/>
          <w:rFonts w:ascii="Times New Roman" w:hAnsi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="00EF3B0B" w:rsidRPr="00EF3B0B">
        <w:rPr>
          <w:rStyle w:val="st131"/>
          <w:rFonts w:ascii="Times New Roman" w:hAnsi="Times New Roman"/>
          <w:color w:val="404040" w:themeColor="text1" w:themeTint="BF"/>
          <w:sz w:val="24"/>
          <w:szCs w:val="24"/>
          <w:lang w:val="x-none" w:eastAsia="ru-RU"/>
        </w:rPr>
        <w:t>№ 1782 від 20.12.2022</w:t>
      </w:r>
      <w:r w:rsidRPr="00EF3B0B">
        <w:rPr>
          <w:rStyle w:val="st46"/>
          <w:rFonts w:ascii="Times New Roman" w:hAnsi="Times New Roman"/>
          <w:color w:val="404040" w:themeColor="text1" w:themeTint="BF"/>
          <w:sz w:val="24"/>
        </w:rPr>
        <w:t>}</w:t>
      </w:r>
    </w:p>
    <w:sectPr w:rsidR="00BC366B" w:rsidRPr="00EF3B0B" w:rsidSect="007A42ED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F5" w:rsidRDefault="00B601F5" w:rsidP="007A42ED">
      <w:pPr>
        <w:spacing w:after="0" w:line="240" w:lineRule="auto"/>
      </w:pPr>
      <w:r>
        <w:separator/>
      </w:r>
    </w:p>
  </w:endnote>
  <w:endnote w:type="continuationSeparator" w:id="0">
    <w:p w:rsidR="00B601F5" w:rsidRDefault="00B601F5" w:rsidP="007A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F5" w:rsidRDefault="00B601F5" w:rsidP="007A42ED">
      <w:pPr>
        <w:spacing w:after="0" w:line="240" w:lineRule="auto"/>
      </w:pPr>
      <w:r>
        <w:separator/>
      </w:r>
    </w:p>
  </w:footnote>
  <w:footnote w:type="continuationSeparator" w:id="0">
    <w:p w:rsidR="00B601F5" w:rsidRDefault="00B601F5" w:rsidP="007A4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7D"/>
    <w:rsid w:val="000F6719"/>
    <w:rsid w:val="00101AB5"/>
    <w:rsid w:val="00134D42"/>
    <w:rsid w:val="001B52D4"/>
    <w:rsid w:val="0020228A"/>
    <w:rsid w:val="002170A5"/>
    <w:rsid w:val="003740C0"/>
    <w:rsid w:val="003B1A7E"/>
    <w:rsid w:val="003E78C9"/>
    <w:rsid w:val="004235BB"/>
    <w:rsid w:val="00454D6B"/>
    <w:rsid w:val="00467181"/>
    <w:rsid w:val="004F2F70"/>
    <w:rsid w:val="0052565E"/>
    <w:rsid w:val="0055294D"/>
    <w:rsid w:val="00564B12"/>
    <w:rsid w:val="0062307F"/>
    <w:rsid w:val="006447C6"/>
    <w:rsid w:val="00685E61"/>
    <w:rsid w:val="006900B2"/>
    <w:rsid w:val="006B2144"/>
    <w:rsid w:val="006E2C1F"/>
    <w:rsid w:val="007366FC"/>
    <w:rsid w:val="007A42ED"/>
    <w:rsid w:val="008607FC"/>
    <w:rsid w:val="008654E3"/>
    <w:rsid w:val="008B7CB8"/>
    <w:rsid w:val="008F4547"/>
    <w:rsid w:val="009139E1"/>
    <w:rsid w:val="00A62626"/>
    <w:rsid w:val="00AA4D6C"/>
    <w:rsid w:val="00AD1A2F"/>
    <w:rsid w:val="00AE3703"/>
    <w:rsid w:val="00B401F7"/>
    <w:rsid w:val="00B601F5"/>
    <w:rsid w:val="00B81C52"/>
    <w:rsid w:val="00BC366B"/>
    <w:rsid w:val="00BC6D80"/>
    <w:rsid w:val="00C9794B"/>
    <w:rsid w:val="00D54278"/>
    <w:rsid w:val="00D6479B"/>
    <w:rsid w:val="00DE530C"/>
    <w:rsid w:val="00E20D75"/>
    <w:rsid w:val="00E67D8A"/>
    <w:rsid w:val="00EB00C0"/>
    <w:rsid w:val="00EF3B0B"/>
    <w:rsid w:val="00F07FE3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4FDF4"/>
  <w15:docId w15:val="{18D25172-C550-4F11-92C3-EAC83CED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75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20D75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2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rsid w:val="007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7A42E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7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7A42E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rsid w:val="0056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564B12"/>
    <w:rPr>
      <w:rFonts w:ascii="Segoe UI" w:eastAsia="Times New Roman" w:hAnsi="Segoe UI" w:cs="Segoe UI"/>
      <w:sz w:val="18"/>
      <w:szCs w:val="18"/>
    </w:rPr>
  </w:style>
  <w:style w:type="character" w:customStyle="1" w:styleId="st131">
    <w:name w:val="st131"/>
    <w:uiPriority w:val="99"/>
    <w:rsid w:val="00BC366B"/>
    <w:rPr>
      <w:i/>
      <w:iCs/>
      <w:color w:val="0000FF"/>
    </w:rPr>
  </w:style>
  <w:style w:type="character" w:customStyle="1" w:styleId="st46">
    <w:name w:val="st46"/>
    <w:uiPriority w:val="99"/>
    <w:rsid w:val="00BC366B"/>
    <w:rPr>
      <w:i/>
      <w:iCs/>
      <w:color w:val="000000"/>
    </w:rPr>
  </w:style>
  <w:style w:type="character" w:customStyle="1" w:styleId="st42">
    <w:name w:val="st42"/>
    <w:uiPriority w:val="99"/>
    <w:rsid w:val="003740C0"/>
    <w:rPr>
      <w:color w:val="000000"/>
    </w:rPr>
  </w:style>
  <w:style w:type="character" w:customStyle="1" w:styleId="st121">
    <w:name w:val="st121"/>
    <w:uiPriority w:val="99"/>
    <w:rsid w:val="003740C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1420874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1050874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282874-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v0282874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5300</Words>
  <Characters>3021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Ковальова Богдана Іванівна</dc:creator>
  <cp:keywords/>
  <dc:description/>
  <cp:lastModifiedBy>Ковальова Богдана Іванівна</cp:lastModifiedBy>
  <cp:revision>3</cp:revision>
  <dcterms:created xsi:type="dcterms:W3CDTF">2022-12-30T04:55:00Z</dcterms:created>
  <dcterms:modified xsi:type="dcterms:W3CDTF">2022-12-30T04:58:00Z</dcterms:modified>
</cp:coreProperties>
</file>