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D" w:rsidRPr="005B7720" w:rsidRDefault="0079631D" w:rsidP="005B7720">
      <w:pPr>
        <w:shd w:val="clear" w:color="auto" w:fill="FFFFFF"/>
        <w:spacing w:before="567" w:after="0" w:line="182" w:lineRule="atLeast"/>
        <w:ind w:left="450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закладах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установах/закладах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послуг/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ІІІ,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V,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14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підпункт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17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VІІ)</w:t>
      </w:r>
    </w:p>
    <w:p w:rsidR="0079631D" w:rsidRPr="005B7720" w:rsidRDefault="0079631D" w:rsidP="005B7720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ПРОТОКОЛ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керівництвом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p w:rsidR="0079631D" w:rsidRPr="005B7720" w:rsidRDefault="0079631D" w:rsidP="0079631D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Вступна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частина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профілактичного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компонентів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ММС.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безпосередньо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готовність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прийняти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системі;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створення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культури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виділення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ресурсів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плану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підрозділах,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план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реалізації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наступної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(щонайбільше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через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рік)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визначення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впливу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плану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дій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регулярної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разу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рік)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моніторингу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стійкості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винайдення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областей,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додаткового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втручання.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включає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анкети: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базової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важли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керівництвом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важли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спостерігачем/дослідником.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рандомно.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випадках,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рандомізація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неможлива: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якщо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задіяно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всього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декілька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підрозділів,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роздаються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всім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працівникам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протягом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одного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тижня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збираються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4–5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днів;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якщо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оцінці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беруть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участь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декілька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підрозділів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цілком,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роздаються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всім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присутні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роботі,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конкретний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день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(вранці)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збираються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кінці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робочого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дня.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також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роздаються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збираються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через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4–5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днів.</w:t>
      </w:r>
    </w:p>
    <w:p w:rsidR="0079631D" w:rsidRPr="005B7720" w:rsidRDefault="0079631D" w:rsidP="005B7720">
      <w:pPr>
        <w:shd w:val="clear" w:color="auto" w:fill="FFFFFF"/>
        <w:spacing w:before="113" w:after="57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базової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p w:rsidR="0079631D" w:rsidRPr="005B7720" w:rsidRDefault="0079631D" w:rsidP="005B772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номер*: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79631D" w:rsidRPr="005B7720" w:rsidRDefault="0079631D" w:rsidP="005B77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вказується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спостерігачем/дослідником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</w:p>
    <w:p w:rsidR="0079631D" w:rsidRPr="005B7720" w:rsidRDefault="0079631D" w:rsidP="0079631D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щоденно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знаходитеся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безпосередньому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контакті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пацієнтами,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цікава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займе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більше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хвилин.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правильна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Будь-ласка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уважно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прочитайте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тоді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відповідайте.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Короткий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словник: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спиртовмісний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дезінфекційний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засіб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(рідина,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гель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піна),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застосовується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нанесення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знищення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мікроорганізмів;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гігієнічна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втирання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8"/>
        <w:gridCol w:w="2769"/>
        <w:gridCol w:w="2541"/>
        <w:gridCol w:w="2897"/>
      </w:tblGrid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ЗОЗ/ЗСЗ: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Місто: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Регіон/Область: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425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наявності)**: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9631D" w:rsidRPr="005B7720" w:rsidRDefault="005B7720" w:rsidP="0079631D">
      <w:pPr>
        <w:shd w:val="clear" w:color="auto" w:fill="FFFFFF"/>
        <w:spacing w:before="170" w:after="113" w:line="161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**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опитування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Стать: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" name="Рисунок 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чоловіча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" name="Рисунок 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жіноча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Вік: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років.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Професійна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група: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" name="Рисунок 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лікар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" name="Рисунок 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сестра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" name="Рисунок 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практикант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(середні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" name="Рисунок 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практикант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(лікарський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персонал)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" name="Рисунок 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допоміжний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персонал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(молодші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доглядальники(-ці)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тощо)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" name="Рисунок 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(зазначити):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Напрям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діяльності: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" name="Рисунок 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терапевтичний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внутрішні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" name="Рисунок 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хірургічний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" name="Рисунок 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інтенсивна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терапія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" name="Рисунок 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змішаний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(надається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різнопрофільна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залежності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потреби)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" name="Рисунок 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невідкладна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приймальне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відділення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" name="Рисунок 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акушерство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" name="Рисунок 1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педіатрія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" name="Рисунок 1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" name="Рисунок 1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хоспісна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" name="Рисунок 1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денний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стаціонар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" name="Рисунок 1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довготривалого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перебування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" name="Рисунок 2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останні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" name="Рисунок 2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" name="Рисунок 2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6.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використовуєте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регулярній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основі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проведення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гігієнічної</w:t>
      </w:r>
      <w:r w:rsidR="00D7600D"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обробки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" name="Рисунок 2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" name="Рисунок 2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lastRenderedPageBreak/>
        <w:t>7.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якого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відсотка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пацієнтів,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виникнуть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%)?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" name="Рисунок 2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" name="Рисунок 2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виражено,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пацієнтів?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" name="Рисунок 2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" name="Рисунок 2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" name="Рисунок 2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" name="Рисунок 3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причиною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неефективного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" name="Рисунок 3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9.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профілактики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" name="Рисунок 3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3" name="Рисунок 3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4" name="Рисунок 3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5" name="Рисунок 3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6" name="Рисунок 3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7" name="Рисунок 3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низька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8" name="Рисунок 3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9" name="Рисунок 3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висока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0" name="Рисунок 4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середньому,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дійсно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(враховується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1" name="Рисунок 4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2" name="Рисунок 4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наступні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направлені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пунктів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відповідь)?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відкрито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3" name="Рисунок 4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4" name="Рисунок 4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5" name="Рисунок 4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6" name="Рисунок 4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7" name="Рисунок 4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диспенсери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точці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8" name="Рисунок 4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9" name="Рисунок 4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0" name="Рисунок 5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1" name="Рисунок 5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2" name="Рисунок 5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плакати/стенди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поряд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точками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3" name="Рисунок 5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4" name="Рисунок 5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5" name="Рисунок 5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6" name="Рисунок 5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7" name="Рисунок 5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Кожен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щорічне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8" name="Рисунок 5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254F9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9" name="Рисунок 5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0" name="Рисунок 6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1" name="Рисунок 6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2" name="Рисунок 6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розроблені,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затверджені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розповсюджені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зрозумілі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стандартні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операційні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процедури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3" name="Рисунок 6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4" name="Рисунок 6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5" name="Рисунок 6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6" name="Рисунок 6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7" name="Рисунок 6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регулярно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зворотній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зв’язок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8" name="Рисунок 6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9" name="Рисунок 6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0" name="Рисунок 7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1" name="Рисунок 7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2" name="Рисунок 7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7)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приклад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наслідування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3" name="Рисунок 7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4" name="Рисунок 7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5" name="Рисунок 7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6" name="Рисунок 7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7" name="Рисунок 7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запропоновано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8" name="Рисунок 7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9" name="Рисунок 7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0" name="Рисунок 8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1" name="Рисунок 8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2" name="Рисунок 8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3" name="Рисунок 8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4" name="Рисунок 8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5" name="Рисунок 8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6" name="Рисунок 8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7" name="Рисунок 8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повністю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колеги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8" name="Рисунок 8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9" name="Рисунок 8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0" name="Рисунок 9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1" name="Рисунок 9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2" name="Рисунок 9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повністю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зусилля,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докладаються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повсякденної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незадовільні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3" name="Рисунок 9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4" name="Рисунок 9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5" name="Рисунок 9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6" name="Рисунок 9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7" name="Рисунок 9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відмінні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16.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середньому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дотримуєтесь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8" name="Рисунок 9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9" name="Рисунок 9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дотримуюсь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0" name="Рисунок 10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5B7720">
      <w:pPr>
        <w:shd w:val="clear" w:color="auto" w:fill="FFFFFF"/>
        <w:spacing w:before="170" w:after="17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Дякуємо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Ваші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відповіді!</w:t>
      </w:r>
    </w:p>
    <w:p w:rsidR="0079631D" w:rsidRPr="005B7720" w:rsidRDefault="0079631D" w:rsidP="005B7720">
      <w:pPr>
        <w:shd w:val="clear" w:color="auto" w:fill="FFFFFF"/>
        <w:spacing w:before="113" w:after="57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працівниками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p w:rsidR="0079631D" w:rsidRPr="005B7720" w:rsidRDefault="0079631D" w:rsidP="005B772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номер*: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</w:t>
      </w:r>
    </w:p>
    <w:p w:rsidR="0079631D" w:rsidRPr="005B7720" w:rsidRDefault="0079631D" w:rsidP="005B7720">
      <w:pPr>
        <w:shd w:val="clear" w:color="auto" w:fill="FFFFFF"/>
        <w:spacing w:before="17" w:after="17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вказується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спостерігачем/дослідником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щоденно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знаходитеся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безпосередньому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контакті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пацієнтами,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цікава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займе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більше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хвилин.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правильна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Будь-ласка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уважно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прочитайте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тоді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відповідайте.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вже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базове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питання.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відрізняється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деякими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додатковими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запитаннями,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дадуть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змогу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отримати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стратегій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інструментів,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наразі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просування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Короткий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словник: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спиртовмісний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дезінфекційний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засіб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(рідина,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гель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піна),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застосовується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нанесення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знищення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мікроорганізмів;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гігієнічна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втирання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2"/>
        <w:gridCol w:w="2774"/>
        <w:gridCol w:w="2546"/>
        <w:gridCol w:w="2903"/>
      </w:tblGrid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ЗОЗ/ЗСЗ: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Місто: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Регіон/Область: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425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наявності)**: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9631D" w:rsidRPr="005B7720" w:rsidRDefault="005B7720" w:rsidP="0079631D">
      <w:pPr>
        <w:shd w:val="clear" w:color="auto" w:fill="FFFFFF"/>
        <w:spacing w:before="170" w:after="113" w:line="161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**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опитування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Стать: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1" name="Рисунок 10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92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чоловіча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2" name="Рисунок 10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жіноча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Вік: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років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Професійна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група: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3" name="Рисунок 10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лікар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4" name="Рисунок 10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сестра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5" name="Рисунок 10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практикант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(середні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6" name="Рисунок 10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практикант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(лікарський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персонал)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7" name="Рисунок 10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допоміжний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персонал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(молодші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доглядальники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(-ці)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тощо)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8" name="Рисунок 10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(зазначити):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Напрям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діяльності: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9" name="Рисунок 10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терапевтичний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внутрішні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0" name="Рисунок 1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хірургічний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1" name="Рисунок 1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інтенсивна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терапія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2" name="Рисунок 1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змішаний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(надається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різнопрофільна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залежності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потреби)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3" name="Рисунок 1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невідкладна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приймальне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відділення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4" name="Рисунок 1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акушерство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5" name="Рисунок 11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педіатрія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6" name="Рисунок 11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7" name="Рисунок 11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хоспісна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8" name="Рисунок 11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денний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стаціонар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9" name="Рисунок 11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довготривалого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перебування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0" name="Рисунок 12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останні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1" name="Рисунок 12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2" name="Рисунок 12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регулярній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основі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гігієнічної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3" name="Рисунок 12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4" name="Рисунок 12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виникнуть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%)?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5" name="Рисунок 12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6" name="Рисунок 12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виражено,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пацієнтів?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7" name="Рисунок 12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8" name="Рисунок 12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9" name="Рисунок 12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0" name="Рисунок 13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причиною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неефективного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1" name="Рисунок 13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9.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профілактики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2" name="Рисунок 13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3" name="Рисунок 13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4" name="Рисунок 13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5" name="Рисунок 13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4300" cy="114300"/>
            <wp:effectExtent l="0" t="0" r="0" b="0"/>
            <wp:docPr id="136" name="Рисунок 13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7" name="Рисунок 13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низька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8" name="Рисунок 13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9" name="Рисунок 13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висока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0" name="Рисунок 14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середньому,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дійсно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її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(враховується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1" name="Рисунок 14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2" name="Рисунок 14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наступні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направлені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пунктів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відповідь)?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відкрито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3" name="Рисунок 14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4" name="Рисунок 14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5" name="Рисунок 14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6" name="Рисунок 14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7" name="Рисунок 14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диспенсери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точці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8" name="Рисунок 14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9" name="Рисунок 14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0" name="Рисунок 15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1" name="Рисунок 15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2" name="Рисунок 15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плакати/стенди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поряд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точками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3" name="Рисунок 15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4" name="Рисунок 15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5" name="Рисунок 15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6" name="Рисунок 15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7" name="Рисунок 15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Кожен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щорічне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8" name="Рисунок 15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9" name="Рисунок 15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0" name="Рисунок 16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1" name="Рисунок 16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2" name="Рисунок 16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розроблені,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затверджені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розповсюджені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зрозумілі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стандартні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операційні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процедури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3" name="Рисунок 16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4" name="Рисунок 16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5" name="Рисунок 16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6" name="Рисунок 16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7" name="Рисунок 16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регулярно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зворотній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зв’язок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8" name="Рисунок 16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9" name="Рисунок 16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0" name="Рисунок 17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1" name="Рисунок 17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2" name="Рисунок 17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7)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приклад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наслідування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3" name="Рисунок 17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4" name="Рисунок 17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5" name="Рисунок 17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6" name="Рисунок 17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7" name="Рисунок 17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запропоновано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8" name="Рисунок 17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9" name="Рисунок 17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0" name="Рисунок 18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1" name="Рисунок 18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2" name="Рисунок 18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3" name="Рисунок 18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4" name="Рисунок 18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5" name="Рисунок 18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6" name="Рисунок 18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7" name="Рисунок 18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повністю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колеги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8" name="Рисунок 18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9" name="Рисунок 18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0" name="Рисунок 19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1" name="Рисунок 19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2" name="Рисунок 19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повністю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підтримують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зусилля,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докладаються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повсякденної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незадовільні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3" name="Рисунок 19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4" name="Рисунок 19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5" name="Рисунок 19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6" name="Рисунок 19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7" name="Рисунок 19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відмінні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16.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середньому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дотримуєтесь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8" name="Рисунок 19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9" name="Рисунок 19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дотримуюсь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0" name="Рисунок 20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17.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спростило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1" name="Рисунок 20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2" name="Рисунок 20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3" name="Рисунок 20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4" name="Рисунок 20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5" name="Рисунок 20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значно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спростило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18.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добре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переносите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переношу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6" name="Рисунок 20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7" name="Рисунок 20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8" name="Рисунок 20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9" name="Рисунок 20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0" name="Рисунок 2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відмінно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переношу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19.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Вашим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колегам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подальшому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дотримуватися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1" name="Рисунок 2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2" name="Рисунок 2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3" name="Рисунок 2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4" name="Рисунок 2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5" name="Рисунок 21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спонукало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дії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20.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факт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періодичних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повторних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оцінок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спонукав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дії?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звертав(-ла)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увагу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6" name="Рисунок 21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7" name="Рисунок 21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8" name="Рисунок 21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9" name="Рисунок 21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0" name="Рисунок 22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спонукало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дії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навчальні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підготовчі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брали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участь,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корисними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сенсі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спонукання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подальшої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оптимальних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1" name="Рисунок 22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2" name="Рисунок 22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3" name="Рисунок 22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4" name="Рисунок 22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5" name="Рисунок 22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спонукало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дії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вважаєте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6" name="Рисунок 22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7" name="Рисунок 22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8" name="Рисунок 22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9" name="Рисунок 22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0" name="Рисунок 23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повністю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допомогло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культури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культура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безпеки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дійсно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покращилася)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покращити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власну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1" name="Рисунок 23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2" name="Рисунок 23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3" name="Рисунок 23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4" name="Рисунок 23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5" name="Рисунок 23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цілковито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краще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розуміти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свою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роль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боротьбі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хворобами,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6" name="Рисунок 23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7" name="Рисунок 23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8" name="Рисунок 23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9" name="Рисунок 23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0" name="Рисунок 24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цілковито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79631D" w:rsidP="005B7720">
      <w:pPr>
        <w:shd w:val="clear" w:color="auto" w:fill="FFFFFF"/>
        <w:spacing w:before="170" w:after="17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Дякуємо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Ваші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відповіді!</w:t>
      </w:r>
    </w:p>
    <w:p w:rsidR="0079631D" w:rsidRPr="005B7720" w:rsidRDefault="0079631D" w:rsidP="005B7720">
      <w:pPr>
        <w:shd w:val="clear" w:color="auto" w:fill="FFFFFF"/>
        <w:spacing w:before="113" w:after="57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Анкета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сприйняття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керівництвом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попередження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ІПНМД,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важливості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p w:rsidR="0079631D" w:rsidRPr="005B7720" w:rsidRDefault="0079631D" w:rsidP="005B7720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номер*: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</w:p>
    <w:p w:rsidR="0079631D" w:rsidRPr="005B7720" w:rsidRDefault="0079631D" w:rsidP="005B7720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вказується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спостерігачем/дослідником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займаєте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посаду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цікава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анкети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займе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більше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хвилин.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правильна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Будь-ласка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уважно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прочитайте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запитання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тоді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відповідайте.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Короткий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словник: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спиртовмісний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дезінфекційний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засіб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(рідина,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гель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піна),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застосовується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нанесення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знищення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мікроорганізмів;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гігієнічна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втирання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2"/>
        <w:gridCol w:w="2774"/>
        <w:gridCol w:w="2546"/>
        <w:gridCol w:w="2903"/>
      </w:tblGrid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13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ЗОЗ/ЗСЗ:</w:t>
            </w:r>
          </w:p>
        </w:tc>
        <w:tc>
          <w:tcPr>
            <w:tcW w:w="1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340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Місто: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Регіон/Область: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113"/>
        </w:trPr>
        <w:tc>
          <w:tcPr>
            <w:tcW w:w="975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5B7720" w:rsidTr="005B7720">
        <w:trPr>
          <w:trHeight w:val="425"/>
        </w:trPr>
        <w:tc>
          <w:tcPr>
            <w:tcW w:w="9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 w:rsidR="00D7600D"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наявності)**: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79631D" w:rsidP="0079631D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Інше: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5B7720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B77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9631D" w:rsidRPr="005B7720" w:rsidRDefault="005B7720" w:rsidP="0079631D">
      <w:pPr>
        <w:shd w:val="clear" w:color="auto" w:fill="FFFFFF"/>
        <w:spacing w:before="170" w:after="113" w:line="161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br/>
        <w:t>**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зазначається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проведенні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анонімного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опитування</w:t>
      </w:r>
    </w:p>
    <w:p w:rsidR="0079631D" w:rsidRPr="005B7720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Стать: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1" name="Рисунок 24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чоловіча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2" name="Рисунок 24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жіноча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Час,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займаєте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дану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посаду: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років.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Час,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працюєте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цьому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років.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Посада: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3" name="Рисунок 24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4" name="Рисунок 24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директор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заступник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керівника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5" name="Рисунок 24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головна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сестра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6" name="Рисунок 24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інша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посада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(зазначити):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попередній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досвід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7" name="Рисунок 24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8" name="Рисунок 24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закуповується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централізовано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9" name="Рисунок 24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0" name="Рисунок 25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виникнуть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100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%)?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1" name="Рисунок 25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2" name="Рисунок 25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виражено,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пацієнтів?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3" name="Рисунок 25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4" name="Рисунок 25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5" name="Рисунок 25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6" name="Рисунок 25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можуть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причиною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неефективного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7" name="Рисунок 25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9.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цілому,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фінансові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витрати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8" name="Рисунок 25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9" name="Рисунок 25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0" name="Рисунок 26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1" name="Рисунок 26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10.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профілактики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хвороб,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пов’язаних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2" name="Рисунок 26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ефективна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3" name="Рисунок 26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незначно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4" name="Рисунок 26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впливає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суттєво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5" name="Рисунок 26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11.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перебування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посаді?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6" name="Рисунок 26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пріоритетом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7" name="Рисунок 26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низька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8" name="Рисунок 26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9" name="Рисунок 26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висока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пріоритетність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0" name="Рисунок 27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12.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відсотку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випадків,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потребують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середньому,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підпорядкованого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дійсно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її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виконують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(враховується</w:t>
      </w:r>
      <w:r w:rsidR="00D7600D"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миття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водою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рук)?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4300" cy="114300"/>
            <wp:effectExtent l="0" t="0" r="0" b="0"/>
            <wp:docPr id="271" name="Рисунок 27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%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2" name="Рисунок 27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13.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лікарі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старші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сестри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прикладами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наслідування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взагалі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дотримуються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3" name="Рисунок 27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4" name="Рисунок 27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5" name="Рисунок 27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6" name="Рисунок 27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7" name="Рисунок 27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всі</w:t>
      </w:r>
      <w:r w:rsidR="00D7600D"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є</w:t>
      </w:r>
      <w:r w:rsidR="00D7600D"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прикладами</w:t>
      </w:r>
      <w:r w:rsidR="00D7600D"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наслідування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14.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проінформовані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8" name="Рисунок 27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9" name="Рисунок 27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5B7720" w:rsidRDefault="005A0600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0" name="Рисунок 28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E76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важко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відповісти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15.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оцінили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зусилля,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прикладаються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підлеглими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жодних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зусиль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1" name="Рисунок 28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2" name="Рисунок 28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3" name="Рисунок 28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4" name="Рисунок 28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5" name="Рисунок 28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роблять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можливе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16.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сприймають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заклик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допомоги?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відсторонено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6" name="Рисунок 28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7" name="Рисунок 28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8" name="Рисунок 28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9" name="Рисунок 28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0" name="Рисунок 29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розумінням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17.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Наскільки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ефективними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Вашу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думку,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наступні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направлені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підпорядкованому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кожному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пунктів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зазначте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лише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одну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відповідь)?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Керівництво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відкрито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підтримує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заходи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1" name="Рисунок 29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2" name="Рисунок 29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3" name="Рисунок 29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4" name="Рисунок 29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5" name="Рисунок 29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будуть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диспенсери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точці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6" name="Рисунок 29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7" name="Рисунок 29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8" name="Рисунок 29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9" name="Рисунок 29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0" name="Рисунок 30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плакати/стенди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встановлені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поряд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точками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догляду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постійного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1" name="Рисунок 30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2" name="Рисунок 30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3" name="Рисунок 30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4" name="Рисунок 30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5" name="Рисунок 30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Кожен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проходить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щорічне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навчання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6" name="Рисунок 30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7" name="Рисунок 30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8" name="Рисунок 30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9" name="Рисунок 30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0" name="Рисунок 3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5)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розроблені,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затверджені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розповсюджені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серед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зрозумілі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стандартні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операційні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процедури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1" name="Рисунок 3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2" name="Рисунок 3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3" name="Рисунок 3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4" name="Рисунок 3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5" name="Рисунок 31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6)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регулярно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отримують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зворотній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зв’язок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6" name="Рисунок 31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7" name="Рисунок 31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8" name="Рисунок 31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9" name="Рисунок 31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0" name="Рисунок 32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7)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Лікарі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старші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сестри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приклади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наслідування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дотриманні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1" name="Рисунок 32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2" name="Рисунок 32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3" name="Рисунок 32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4" name="Рисунок 32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5" name="Рисунок 32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8)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Пацієнтам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запропоновано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нагадувати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виконати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практику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5B7720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без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будь-якого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ефекту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6" name="Рисунок 32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7" name="Рисунок 32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8" name="Рисунок 32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9" name="Рисунок 32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</w:t>
      </w:r>
      <w:r w:rsidR="005A0600" w:rsidRPr="00254F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30" name="Рисунок 33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sym w:font="Symbol" w:char="F020"/>
      </w:r>
      <w:r w:rsidR="00C22504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надзвичайний</w:t>
      </w:r>
      <w:r w:rsidR="00D7600D" w:rsidRPr="005B772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color w:val="000000"/>
          <w:sz w:val="24"/>
          <w:szCs w:val="24"/>
          <w:lang w:eastAsia="uk-UA"/>
        </w:rPr>
        <w:t>ефект</w:t>
      </w:r>
    </w:p>
    <w:p w:rsidR="0079631D" w:rsidRPr="005B7720" w:rsidRDefault="0079631D" w:rsidP="005B7720">
      <w:pPr>
        <w:shd w:val="clear" w:color="auto" w:fill="FFFFFF"/>
        <w:spacing w:before="170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Дякуємо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Ваші</w:t>
      </w:r>
      <w:r w:rsidR="00D7600D"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5B7720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відповіді!</w:t>
      </w:r>
    </w:p>
    <w:sectPr w:rsidR="0079631D" w:rsidRPr="005B7720" w:rsidSect="005B77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квадратик"/>
      </v:shape>
    </w:pict>
  </w:numPicBullet>
  <w:abstractNum w:abstractNumId="0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D"/>
    <w:rsid w:val="00035E76"/>
    <w:rsid w:val="00170A3E"/>
    <w:rsid w:val="00254F92"/>
    <w:rsid w:val="003A5875"/>
    <w:rsid w:val="00400C3D"/>
    <w:rsid w:val="005A0600"/>
    <w:rsid w:val="005B7720"/>
    <w:rsid w:val="00702DB3"/>
    <w:rsid w:val="0079631D"/>
    <w:rsid w:val="007C6A40"/>
    <w:rsid w:val="009510F0"/>
    <w:rsid w:val="009C1A0C"/>
    <w:rsid w:val="00A078BD"/>
    <w:rsid w:val="00A138EA"/>
    <w:rsid w:val="00C22504"/>
    <w:rsid w:val="00CA617C"/>
    <w:rsid w:val="00CE1B9F"/>
    <w:rsid w:val="00D40211"/>
    <w:rsid w:val="00D7600D"/>
    <w:rsid w:val="00DB0C60"/>
    <w:rsid w:val="00E42424"/>
    <w:rsid w:val="00E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22F0-B6CD-46D4-94B7-D82B19BA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6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9631D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79631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9631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qFormat/>
    <w:rsid w:val="0079631D"/>
    <w:rPr>
      <w:rFonts w:cs="Times New Roman"/>
      <w:i/>
      <w:iCs/>
    </w:rPr>
  </w:style>
  <w:style w:type="paragraph" w:customStyle="1" w:styleId="formulaformula">
    <w:name w:val="formula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ormula">
    <w:name w:val="de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79631D"/>
    <w:rPr>
      <w:rFonts w:cs="Times New Roman"/>
      <w:b/>
      <w:bCs/>
    </w:rPr>
  </w:style>
  <w:style w:type="paragraph" w:customStyle="1" w:styleId="ch6f0">
    <w:name w:val="ch6f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79631D"/>
    <w:rPr>
      <w:rFonts w:cs="Times New Roman"/>
    </w:rPr>
  </w:style>
  <w:style w:type="paragraph" w:customStyle="1" w:styleId="tableshapkatabl">
    <w:name w:val="tableshapka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2">
    <w:name w:val="snoskasnoski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0">
    <w:name w:val="tabl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79631D"/>
    <w:rPr>
      <w:rFonts w:cs="Times New Roman"/>
    </w:rPr>
  </w:style>
  <w:style w:type="character" w:customStyle="1" w:styleId="word1wordrtf0">
    <w:name w:val="word1wordrtf0"/>
    <w:basedOn w:val="a0"/>
    <w:rsid w:val="0079631D"/>
    <w:rPr>
      <w:rFonts w:cs="Times New Roman"/>
    </w:rPr>
  </w:style>
  <w:style w:type="paragraph" w:customStyle="1" w:styleId="ch6f3">
    <w:name w:val="ch6f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15">
    <w:name w:val="ch15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6">
    <w:name w:val="ch6f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8">
    <w:name w:val="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">
    <w:name w:val="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963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963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13805</Words>
  <Characters>7869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2021-12-06T11:13:00Z</dcterms:created>
  <dcterms:modified xsi:type="dcterms:W3CDTF">2021-12-06T11:13:00Z</dcterms:modified>
</cp:coreProperties>
</file>