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F1" w:rsidRPr="005C1E57" w:rsidRDefault="00255AF1" w:rsidP="005C1E57">
      <w:pPr>
        <w:pStyle w:val="ShapkaDocumentu"/>
        <w:ind w:left="9912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C1E57">
        <w:rPr>
          <w:rFonts w:ascii="Times New Roman" w:hAnsi="Times New Roman"/>
          <w:noProof/>
          <w:sz w:val="24"/>
          <w:szCs w:val="24"/>
          <w:lang w:val="ru-RU"/>
        </w:rPr>
        <w:t>Додаток 6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255AF1" w:rsidRPr="005C1E57" w:rsidRDefault="00255AF1" w:rsidP="00255AF1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5C1E57">
        <w:rPr>
          <w:rFonts w:ascii="Times New Roman" w:hAnsi="Times New Roman"/>
          <w:noProof/>
          <w:sz w:val="28"/>
          <w:szCs w:val="28"/>
          <w:lang w:val="ru-RU"/>
        </w:rPr>
        <w:t>РОЗРАХУНОК</w:t>
      </w:r>
      <w:r w:rsidRPr="005C1E57">
        <w:rPr>
          <w:rFonts w:ascii="Times New Roman" w:hAnsi="Times New Roman"/>
          <w:noProof/>
          <w:sz w:val="28"/>
          <w:szCs w:val="28"/>
          <w:lang w:val="ru-RU"/>
        </w:rPr>
        <w:br/>
        <w:t>фактичних нарахувань за теплову енергію та надані споживачам послуги за період з__ ______20__ р. по__ ______20__ р.*</w:t>
      </w:r>
    </w:p>
    <w:p w:rsidR="00255AF1" w:rsidRPr="005C1E57" w:rsidRDefault="00255AF1" w:rsidP="00255AF1">
      <w:pPr>
        <w:spacing w:before="8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55AF1" w:rsidRPr="005C1E57" w:rsidRDefault="00255AF1" w:rsidP="00255AF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______________________________________</w:t>
      </w:r>
    </w:p>
    <w:p w:rsidR="00255AF1" w:rsidRPr="005C1E57" w:rsidRDefault="00255AF1" w:rsidP="00255AF1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______________________________________________________</w:t>
      </w:r>
    </w:p>
    <w:tbl>
      <w:tblPr>
        <w:tblW w:w="5135" w:type="pct"/>
        <w:tblInd w:w="-567" w:type="dxa"/>
        <w:shd w:val="clear" w:color="auto" w:fill="FFFFFF"/>
        <w:tblLook w:val="04A0" w:firstRow="1" w:lastRow="0" w:firstColumn="1" w:lastColumn="0" w:noHBand="0" w:noVBand="1"/>
      </w:tblPr>
      <w:tblGrid>
        <w:gridCol w:w="819"/>
        <w:gridCol w:w="2804"/>
        <w:gridCol w:w="2672"/>
        <w:gridCol w:w="1765"/>
        <w:gridCol w:w="659"/>
        <w:gridCol w:w="792"/>
        <w:gridCol w:w="1292"/>
        <w:gridCol w:w="1059"/>
        <w:gridCol w:w="1393"/>
        <w:gridCol w:w="1297"/>
        <w:gridCol w:w="1394"/>
        <w:gridCol w:w="1363"/>
        <w:gridCol w:w="1723"/>
        <w:gridCol w:w="1464"/>
        <w:gridCol w:w="1486"/>
      </w:tblGrid>
      <w:tr w:rsidR="00255AF1" w:rsidRPr="00255AF1" w:rsidTr="00255AF1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Розділ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Назва тарифу, що застосовується у розрахунковому періоді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Категорія споживачів (населення, організації та установи, що фінансуються з державного та/або місцевих бюджетів, релігійні організації, інші споживачі, інші підприємства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організаціям та установам, що фінансуються з державного та/або місцевих бюджетів, релігійним організаціям, іншим споживачам)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255AF1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Документ, згідно з яким встановлено тариф, зазначений у графі 1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(рішення уповноваженого органу, дата та номер)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Період застосування тарифу, дата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Розмір тарифу, гривень за одиницю (без урахування податку на додану вартість)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Одиниця виміру, Гкал, 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куб. метрів, кв. метрів, Гкал/год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Обсяги реалізації теплової енергії та наданих споживачам послуг, одиниць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нарахувань за тарифом, гривень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6 х графа 8)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здійснених перерахунків та коригувань, гривень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з урахуванням перерахунків та коригувань, гривень (графа 9 - графа 10 - графа 11 - графа 12 - графа 13)</w:t>
            </w:r>
          </w:p>
        </w:tc>
      </w:tr>
      <w:tr w:rsidR="00255AF1" w:rsidRPr="00255AF1" w:rsidTr="00255AF1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із зміною розміру нарахувань споживачам за теплову енергію та надані послуги,  пов’язаною із зміною ціни природного газу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з ненаданням послуг або наданням їх не в повному обсязі, зниженням якості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встановлених контролюючим органом порушень порядку формування тарифів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коригування  плати (нарахувань) за теплову енергію, надані споживачам послуги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rPr>
          <w:tblHeader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14</w:t>
            </w: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Теплова енергія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постачання теплової енергії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Послуга з централізованого опалення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 постачання гарячої води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гарячої води (з рушникосушильниками)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гарячої води (без рушникосушильників)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Усього дохід за діючими тарифами, гривень, у тому числі: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населення**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організацій та установ, що фінансуються з державного та/або місцевих бюджетів**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релігійних організацій**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інших споживачів**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</w:t>
            </w:r>
          </w:p>
        </w:tc>
        <w:tc>
          <w:tcPr>
            <w:tcW w:w="45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Сума трансфертів та фінансової допомоги з державного бюджету,  які безпосередньо використано на основну (операційну) діяльність суб’єкта господарювання у сфері теплопостачання, за період визначення заборгованості з різниці в тарифах, гривень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ІІІ</w:t>
            </w: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для визначення заборгованості з різниці в тарифах, гривень (розділ І + розділ ІІ)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255AF1" w:rsidRPr="005C1E57" w:rsidRDefault="00255AF1" w:rsidP="00255AF1">
      <w:pPr>
        <w:jc w:val="both"/>
        <w:rPr>
          <w:rFonts w:ascii="Times New Roman" w:eastAsia="Calibri" w:hAnsi="Times New Roman"/>
          <w:noProof/>
          <w:sz w:val="20"/>
          <w:szCs w:val="22"/>
          <w:lang w:val="ru-RU" w:eastAsia="en-US"/>
        </w:rPr>
      </w:pPr>
    </w:p>
    <w:p w:rsidR="00255AF1" w:rsidRPr="005C1E57" w:rsidRDefault="00255AF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255AF1" w:rsidRPr="005C1E57" w:rsidRDefault="00255AF1" w:rsidP="00255AF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ДОВІДКОВО: </w:t>
      </w:r>
    </w:p>
    <w:p w:rsidR="00255AF1" w:rsidRPr="005C1E57" w:rsidRDefault="00255AF1" w:rsidP="00255AF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 xml:space="preserve">Інформація щодо зміни розміру нарахувань, здійснених суб’єктом господарювання за теплову енергію, комунальні послуги для категорії споживачів </w:t>
      </w:r>
      <w:r w:rsidRPr="005C1E57">
        <w:rPr>
          <w:rFonts w:ascii="Times New Roman" w:hAnsi="Times New Roman"/>
          <w:noProof/>
          <w:sz w:val="24"/>
          <w:szCs w:val="24"/>
          <w:lang w:val="ru-RU" w:eastAsia="uk-UA"/>
        </w:rPr>
        <w:t>“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t xml:space="preserve">інші споживачі” виходячи із щомісячної зміни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 (за період визначення заборгованості з різниці в тарифах) </w:t>
      </w:r>
    </w:p>
    <w:p w:rsidR="00255AF1" w:rsidRPr="005C1E57" w:rsidRDefault="00255AF1" w:rsidP="00255AF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3797"/>
        <w:gridCol w:w="5086"/>
        <w:gridCol w:w="4118"/>
        <w:gridCol w:w="6708"/>
      </w:tblGrid>
      <w:tr w:rsidR="00255AF1" w:rsidRPr="00255AF1" w:rsidTr="00182739"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Період (місяць та рік)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нарахувань за діючим у періоді тарифом (гривень)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Коефіцієнт перерахунку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перерахунку (гривень) (графа 3 х (графа 4 - 1)</w:t>
            </w: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…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Х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255AF1" w:rsidRPr="00255AF1" w:rsidRDefault="00255AF1" w:rsidP="00255AF1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255AF1" w:rsidRPr="00255AF1" w:rsidRDefault="00255AF1" w:rsidP="00255AF1">
      <w:pPr>
        <w:jc w:val="both"/>
        <w:rPr>
          <w:rFonts w:ascii="Times New Roman" w:hAnsi="Times New Roman"/>
          <w:noProof/>
          <w:sz w:val="24"/>
          <w:szCs w:val="24"/>
          <w:lang w:val="en-AU" w:eastAsia="en-US"/>
        </w:rPr>
      </w:pPr>
    </w:p>
    <w:tbl>
      <w:tblPr>
        <w:tblW w:w="426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"/>
        <w:gridCol w:w="197"/>
        <w:gridCol w:w="6858"/>
        <w:gridCol w:w="792"/>
        <w:gridCol w:w="4980"/>
        <w:gridCol w:w="4611"/>
      </w:tblGrid>
      <w:tr w:rsidR="00255AF1" w:rsidRPr="00255AF1" w:rsidTr="00182739">
        <w:trPr>
          <w:trHeight w:val="20"/>
        </w:trPr>
        <w:tc>
          <w:tcPr>
            <w:tcW w:w="220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54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1880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217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65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(підпис)</w:t>
            </w:r>
          </w:p>
        </w:tc>
        <w:tc>
          <w:tcPr>
            <w:tcW w:w="1264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  <w:tr w:rsidR="00255AF1" w:rsidRPr="00255AF1" w:rsidTr="00182739">
        <w:trPr>
          <w:trHeight w:val="20"/>
        </w:trPr>
        <w:tc>
          <w:tcPr>
            <w:tcW w:w="220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54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1880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</w:tc>
        <w:tc>
          <w:tcPr>
            <w:tcW w:w="217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65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(посада)</w:t>
            </w:r>
          </w:p>
        </w:tc>
        <w:tc>
          <w:tcPr>
            <w:tcW w:w="1264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</w:tbl>
    <w:p w:rsidR="00255AF1" w:rsidRPr="005C1E57" w:rsidRDefault="00255AF1" w:rsidP="00255AF1">
      <w:pPr>
        <w:jc w:val="both"/>
        <w:rPr>
          <w:rFonts w:ascii="Times New Roman" w:hAnsi="Times New Roman"/>
          <w:noProof/>
          <w:sz w:val="20"/>
          <w:lang w:val="ru-RU"/>
        </w:rPr>
      </w:pPr>
      <w:r w:rsidRPr="005C1E57">
        <w:rPr>
          <w:rFonts w:ascii="Times New Roman" w:hAnsi="Times New Roman"/>
          <w:noProof/>
          <w:sz w:val="20"/>
          <w:lang w:val="ru-RU"/>
        </w:rPr>
        <w:t>__________</w:t>
      </w:r>
      <w:r w:rsidRPr="005C1E57">
        <w:rPr>
          <w:rFonts w:ascii="Times New Roman" w:hAnsi="Times New Roman"/>
          <w:noProof/>
          <w:sz w:val="20"/>
          <w:lang w:val="ru-RU"/>
        </w:rPr>
        <w:br/>
        <w:t>* Період, за який розраховується  заборгованість з різниці в тарифах, визначається в межах одного календарного року.</w:t>
      </w:r>
    </w:p>
    <w:p w:rsidR="00255AF1" w:rsidRPr="005C1E57" w:rsidRDefault="00255AF1" w:rsidP="00255AF1">
      <w:pPr>
        <w:jc w:val="both"/>
        <w:rPr>
          <w:rFonts w:ascii="Times New Roman" w:hAnsi="Times New Roman"/>
          <w:iCs/>
          <w:noProof/>
          <w:sz w:val="20"/>
          <w:lang w:val="ru-RU" w:eastAsia="uk-UA"/>
        </w:rPr>
      </w:pPr>
      <w:r w:rsidRPr="005C1E57">
        <w:rPr>
          <w:rFonts w:ascii="Times New Roman" w:hAnsi="Times New Roman"/>
          <w:iCs/>
          <w:noProof/>
          <w:color w:val="000000"/>
          <w:sz w:val="20"/>
          <w:lang w:val="ru-RU" w:eastAsia="uk-UA"/>
        </w:rPr>
        <w:t xml:space="preserve">** У тому числі для потреб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</w:t>
      </w:r>
      <w:r w:rsidRPr="005C1E57">
        <w:rPr>
          <w:rFonts w:ascii="Times New Roman" w:hAnsi="Times New Roman"/>
          <w:iCs/>
          <w:noProof/>
          <w:sz w:val="20"/>
          <w:lang w:val="ru-RU" w:eastAsia="uk-UA"/>
        </w:rPr>
        <w:t>послуги з постачання теплової енергії та постачання гарячої води відповідним категоріям споживачів (населення, організації та установи, що фінансуються з державного та/або місцевих бюджетів, релігійні організації, інші споживачі).</w:t>
      </w:r>
    </w:p>
    <w:p w:rsidR="00255AF1" w:rsidRPr="005C1E57" w:rsidRDefault="00255AF1" w:rsidP="00255AF1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noProof/>
          <w:sz w:val="28"/>
          <w:szCs w:val="28"/>
          <w:lang w:val="ru-RU"/>
        </w:rPr>
      </w:pPr>
    </w:p>
    <w:p w:rsidR="008A4265" w:rsidRDefault="008A4265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Default="00883FB6">
      <w:pPr>
        <w:rPr>
          <w:noProof/>
          <w:lang w:val="ru-RU"/>
        </w:rPr>
      </w:pPr>
    </w:p>
    <w:p w:rsidR="00883FB6" w:rsidRPr="00883FB6" w:rsidRDefault="00883FB6">
      <w:pPr>
        <w:rPr>
          <w:rFonts w:ascii="Times New Roman" w:hAnsi="Times New Roman"/>
          <w:noProof/>
          <w:sz w:val="24"/>
          <w:lang w:val="ru-RU"/>
        </w:rPr>
      </w:pPr>
      <w:r w:rsidRPr="00883FB6">
        <w:rPr>
          <w:rStyle w:val="st46"/>
          <w:rFonts w:ascii="Times New Roman" w:hAnsi="Times New Roman"/>
          <w:color w:val="auto"/>
          <w:sz w:val="24"/>
        </w:rPr>
        <w:t xml:space="preserve">{Додаток 6 в редакції Постанови КМ </w:t>
      </w:r>
      <w:r w:rsidRPr="00883FB6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883FB6">
        <w:rPr>
          <w:rStyle w:val="st46"/>
          <w:rFonts w:ascii="Times New Roman" w:hAnsi="Times New Roman"/>
          <w:color w:val="auto"/>
          <w:sz w:val="24"/>
        </w:rPr>
        <w:t>}</w:t>
      </w:r>
    </w:p>
    <w:sectPr w:rsidR="00883FB6" w:rsidRPr="00883FB6" w:rsidSect="00255AF1">
      <w:pgSz w:w="23814" w:h="16840" w:orient="landscape"/>
      <w:pgMar w:top="1276" w:right="992" w:bottom="28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1"/>
    <w:rsid w:val="00255AF1"/>
    <w:rsid w:val="002E2081"/>
    <w:rsid w:val="005A1CF3"/>
    <w:rsid w:val="005C1E57"/>
    <w:rsid w:val="00883FB6"/>
    <w:rsid w:val="008A4265"/>
    <w:rsid w:val="00E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8E5"/>
  <w15:chartTrackingRefBased/>
  <w15:docId w15:val="{68450C27-9F05-4C16-9B1F-C9210E5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F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5AF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F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255AF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55AF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55AF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883FB6"/>
    <w:rPr>
      <w:i/>
      <w:iCs/>
      <w:color w:val="0000FF"/>
    </w:rPr>
  </w:style>
  <w:style w:type="character" w:customStyle="1" w:styleId="st46">
    <w:name w:val="st46"/>
    <w:uiPriority w:val="99"/>
    <w:rsid w:val="00883F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1422-6689-490E-8226-A188262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2022-11-04T07:37:00Z</dcterms:created>
  <dcterms:modified xsi:type="dcterms:W3CDTF">2022-11-04T07:38:00Z</dcterms:modified>
</cp:coreProperties>
</file>