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5E" w:rsidRPr="00043702" w:rsidRDefault="00EC565E" w:rsidP="00EC565E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інфраструктури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  <w:t>01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455</w:t>
      </w:r>
    </w:p>
    <w:p w:rsidR="00EC565E" w:rsidRPr="00043702" w:rsidRDefault="00EC565E" w:rsidP="00EC565E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органу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(контролю),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його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місцезнаходження,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телефону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адреса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електронної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пошти)</w:t>
      </w:r>
    </w:p>
    <w:p w:rsidR="00EC565E" w:rsidRPr="00043702" w:rsidRDefault="00EC565E" w:rsidP="00043702">
      <w:pPr>
        <w:shd w:val="clear" w:color="auto" w:fill="FFFFFF"/>
        <w:spacing w:before="170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B6080">
        <w:rPr>
          <w:noProof/>
          <w:lang w:eastAsia="uk-UA"/>
        </w:rPr>
        <w:drawing>
          <wp:inline distT="0" distB="0" distL="0" distR="0">
            <wp:extent cx="895350" cy="127000"/>
            <wp:effectExtent l="0" t="0" r="0" b="0"/>
            <wp:docPr id="1" name="Рисунок 1" descr="C:\1Работа\Robota\MINYUST\2021\12\84\RE36987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12\84\RE36987_img_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5E" w:rsidRPr="00043702" w:rsidRDefault="00EC565E" w:rsidP="00EC565E">
      <w:pPr>
        <w:shd w:val="clear" w:color="auto" w:fill="FFFFFF"/>
        <w:spacing w:before="17" w:after="0" w:line="150" w:lineRule="atLeast"/>
        <w:ind w:left="260" w:right="5850" w:firstLine="307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складання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акта)</w:t>
      </w:r>
    </w:p>
    <w:p w:rsidR="00EC565E" w:rsidRPr="00043702" w:rsidRDefault="00EC565E" w:rsidP="00043702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складений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результатами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планового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(позапланового)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дотримання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суб’єктом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господарювання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вимог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законодавства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сфері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міського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електричного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транспорту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(трамвай,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тролейбус)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(сфера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(контролю)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юридичної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особи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(відокремленого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підрозділу)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EC565E" w:rsidRPr="00043702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код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згідно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ЄДРПОУ,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реєстраційний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номер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облікової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картки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платника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податків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="00AB6080">
        <w:rPr>
          <w:noProof/>
          <w:lang w:eastAsia="uk-UA"/>
        </w:rPr>
        <w:drawing>
          <wp:inline distT="0" distB="0" distL="0" distR="0">
            <wp:extent cx="1619250" cy="146050"/>
            <wp:effectExtent l="0" t="0" r="0" b="0"/>
            <wp:docPr id="2" name="Рисунок 2" descr="C:\1Работа\Robota\MINYUST\2021\12\84\RE36987_img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21\12\84\RE36987_img_00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,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паспорта*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(місцезнаходження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/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місце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проживання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ліцензіата,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номери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телефону,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EC565E" w:rsidRPr="00043702" w:rsidRDefault="00EC565E" w:rsidP="00043702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телефаксу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адреса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електронної</w:t>
      </w:r>
      <w:r w:rsidR="00043702" w:rsidRPr="0004370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0"/>
          <w:szCs w:val="20"/>
          <w:lang w:eastAsia="uk-UA"/>
        </w:rPr>
        <w:t>пошти)</w:t>
      </w:r>
    </w:p>
    <w:p w:rsidR="00EC565E" w:rsidRPr="00043702" w:rsidRDefault="00EC565E" w:rsidP="00EC565E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суб’єкта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класифікацією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суб’єктів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(суб’єкт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мікро-,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малого,</w:t>
      </w:r>
      <w:r w:rsidR="00602C8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середнього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великого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підприємництва),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ступінь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ризику: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</w:p>
    <w:p w:rsidR="00EC565E" w:rsidRPr="00043702" w:rsidRDefault="00EC565E" w:rsidP="00EC565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види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об’єктів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види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господарської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(із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зазначенням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коду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КВЕД),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проводиться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захід: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EC565E" w:rsidRPr="00043702" w:rsidRDefault="00EC565E" w:rsidP="00043702">
      <w:pPr>
        <w:shd w:val="clear" w:color="auto" w:fill="FFFFFF"/>
        <w:spacing w:before="113" w:after="28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Загальна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3"/>
        <w:gridCol w:w="2039"/>
        <w:gridCol w:w="3823"/>
      </w:tblGrid>
      <w:tr w:rsidR="00EC565E" w:rsidRPr="00043702" w:rsidTr="00602C8E">
        <w:trPr>
          <w:trHeight w:val="60"/>
        </w:trPr>
        <w:tc>
          <w:tcPr>
            <w:tcW w:w="2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Розпорядчий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документ,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(контролю),</w:t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3" name="Рисунок 3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647700" cy="133350"/>
                  <wp:effectExtent l="0" t="0" r="0" b="0"/>
                  <wp:docPr id="4" name="Рисунок 4" descr="C:\1Работа\Robota\MINYUST\2021\12\84\RE36987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21\12\84\RE36987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(направлення)</w:t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5" name="Рисунок 5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647700" cy="133350"/>
                  <wp:effectExtent l="0" t="0" r="0" b="0"/>
                  <wp:docPr id="6" name="Рисунок 6" descr="C:\1Работа\Robota\MINYUST\2021\12\84\RE36987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1\12\84\RE36987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Тип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(контролю):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позаплановий</w:t>
            </w:r>
          </w:p>
        </w:tc>
        <w:tc>
          <w:tcPr>
            <w:tcW w:w="1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(контролю):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" name="Рисунок 9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перевірка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" name="Рисунок 10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ревізія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1" name="Рисунок 11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обстеження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2" name="Рисунок 12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</w:t>
            </w:r>
          </w:p>
          <w:p w:rsidR="00EC565E" w:rsidRPr="00043702" w:rsidRDefault="00AB6080" w:rsidP="00EC565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3" name="Рисунок 13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форма,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визначена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законом</w:t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C565E" w:rsidRPr="00602C8E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02C8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(назва</w:t>
            </w:r>
            <w:r w:rsidR="00043702" w:rsidRPr="00602C8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02C8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форми</w:t>
            </w:r>
            <w:r w:rsidR="00043702" w:rsidRPr="00602C8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02C8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заходу)</w:t>
            </w:r>
          </w:p>
        </w:tc>
      </w:tr>
    </w:tbl>
    <w:p w:rsidR="00EC565E" w:rsidRPr="00602C8E" w:rsidRDefault="00602C8E" w:rsidP="00EC565E">
      <w:pPr>
        <w:shd w:val="clear" w:color="auto" w:fill="FFFFFF"/>
        <w:spacing w:before="227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*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фізичних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осіб,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через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свої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релігійні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переконання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відмовились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прийняття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реєстраційного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номера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картки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платника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податків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повідомили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це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відповідний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контролюючий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орган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043702" w:rsidRPr="00602C8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602C8E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</w:p>
    <w:p w:rsidR="00EC565E" w:rsidRPr="00043702" w:rsidRDefault="00602C8E" w:rsidP="00602C8E">
      <w:pPr>
        <w:shd w:val="clear" w:color="auto" w:fill="FFFFFF"/>
        <w:spacing w:before="113" w:after="28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Строк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8"/>
        <w:gridCol w:w="899"/>
        <w:gridCol w:w="1282"/>
        <w:gridCol w:w="955"/>
        <w:gridCol w:w="1112"/>
        <w:gridCol w:w="847"/>
        <w:gridCol w:w="898"/>
        <w:gridCol w:w="1281"/>
        <w:gridCol w:w="955"/>
        <w:gridCol w:w="1108"/>
      </w:tblGrid>
      <w:tr w:rsidR="00EC565E" w:rsidRPr="00043702" w:rsidTr="00602C8E">
        <w:trPr>
          <w:trHeight w:val="60"/>
        </w:trPr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Початок</w:t>
            </w:r>
          </w:p>
        </w:tc>
        <w:tc>
          <w:tcPr>
            <w:tcW w:w="250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Завершення</w:t>
            </w:r>
          </w:p>
        </w:tc>
      </w:tr>
      <w:tr w:rsidR="00EC565E" w:rsidRPr="00043702" w:rsidTr="00602C8E">
        <w:trPr>
          <w:trHeight w:val="60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14" name="Рисунок 14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15" name="Рисунок 15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47700" cy="133350"/>
                  <wp:effectExtent l="0" t="0" r="0" b="0"/>
                  <wp:docPr id="16" name="Рисунок 16" descr="C:\1Работа\Robota\MINYUST\2021\12\84\RE36987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1Работа\Robota\MINYUST\2021\12\84\RE36987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17" name="Рисунок 17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18" name="Рисунок 18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19" name="Рисунок 19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20" name="Рисунок 20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47700" cy="133350"/>
                  <wp:effectExtent l="0" t="0" r="0" b="0"/>
                  <wp:docPr id="21" name="Рисунок 21" descr="C:\1Работа\Robota\MINYUST\2021\12\84\RE36987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1Работа\Robota\MINYUST\2021\12\84\RE36987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22" name="Рисунок 22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36550" cy="127000"/>
                  <wp:effectExtent l="0" t="0" r="0" b="0"/>
                  <wp:docPr id="23" name="Рисунок 23" descr="C:\1Работа\Robota\MINYUST\2021\12\84\RE36987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1Работа\Robota\MINYUST\2021\12\84\RE36987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5E" w:rsidRPr="00043702" w:rsidTr="00602C8E">
        <w:trPr>
          <w:trHeight w:val="60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хвилини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хвилини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602C8E">
      <w:pPr>
        <w:shd w:val="clear" w:color="auto" w:fill="FFFFFF"/>
        <w:spacing w:before="113" w:after="28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останній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проведений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захід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EC565E" w:rsidRPr="00043702" w:rsidTr="00602C8E">
        <w:trPr>
          <w:trHeight w:val="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Позаплановий</w:t>
            </w:r>
          </w:p>
        </w:tc>
      </w:tr>
      <w:tr w:rsidR="00EC565E" w:rsidRPr="00043702" w:rsidTr="00602C8E">
        <w:trPr>
          <w:trHeight w:val="6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4" name="Рисунок 24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5" name="Рисунок 25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було</w:t>
            </w:r>
          </w:p>
        </w:tc>
      </w:tr>
      <w:tr w:rsidR="00EC565E" w:rsidRPr="00043702" w:rsidTr="00602C8E">
        <w:trPr>
          <w:trHeight w:val="6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6" name="Рисунок 26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був</w:t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27" name="Рисунок 27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28" name="Рисунок 28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перевірки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895350" cy="127000"/>
                  <wp:effectExtent l="0" t="0" r="0" b="0"/>
                  <wp:docPr id="29" name="Рисунок 29" descr="C:\1Работа\Robota\MINYUST\2021\12\84\RE36987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1Работа\Robota\MINYUST\2021\12\84\RE36987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Припис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порушень:</w:t>
            </w:r>
          </w:p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0" name="Рисунок 30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видавався;</w:t>
            </w:r>
          </w:p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1" name="Рисунок 31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видавався;</w:t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вимоги: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2" name="Рисунок 32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виконано;</w:t>
            </w:r>
          </w:p>
          <w:p w:rsidR="00EC565E" w:rsidRPr="00043702" w:rsidRDefault="00043702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602C8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3" name="Рисунок 33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4" name="Рисунок 34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був</w:t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35" name="Рисунок 35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390650" cy="152400"/>
                  <wp:effectExtent l="0" t="0" r="0" b="0"/>
                  <wp:docPr id="36" name="Рисунок 36" descr="C:\1Работа\Robota\MINYUST\2021\12\84\RE36987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1Работа\Robota\MINYUST\2021\12\84\RE36987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перевірки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895350" cy="127000"/>
                  <wp:effectExtent l="0" t="0" r="0" b="0"/>
                  <wp:docPr id="37" name="Рисунок 37" descr="C:\1Работа\Robota\MINYUST\2021\12\84\RE36987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1Работа\Robota\MINYUST\2021\12\84\RE36987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5E" w:rsidRPr="00043702" w:rsidRDefault="00EC565E" w:rsidP="00EC565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Припис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порушень:</w:t>
            </w:r>
          </w:p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8" name="Рисунок 38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видавався;</w:t>
            </w:r>
          </w:p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9" name="Рисунок 39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видавався;</w:t>
            </w:r>
          </w:p>
          <w:p w:rsidR="00EC565E" w:rsidRPr="00043702" w:rsidRDefault="00EC565E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вимоги: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0" name="Рисунок 40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виконано;</w:t>
            </w:r>
          </w:p>
          <w:p w:rsidR="00EC565E" w:rsidRPr="00043702" w:rsidRDefault="00043702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</w:t>
            </w:r>
            <w:r w:rsidR="00602C8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="00AB6080"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1" name="Рисунок 41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виконано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602C8E">
      <w:pPr>
        <w:shd w:val="clear" w:color="auto" w:fill="FFFFFF"/>
        <w:spacing w:before="113" w:after="28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беруть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участь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(контролю):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посадові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безпеки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транспорті: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 w:rsidR="009275D9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EC565E" w:rsidRPr="009275D9" w:rsidRDefault="00EC565E" w:rsidP="009275D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посади,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 w:rsidR="009275D9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:rsidR="00EC565E" w:rsidRPr="009275D9" w:rsidRDefault="00EC565E" w:rsidP="009275D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посади,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керівник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суб’єкта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ним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особа: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 w:rsidR="009275D9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EC565E" w:rsidRPr="009275D9" w:rsidRDefault="00EC565E" w:rsidP="009275D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посади,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треті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особи: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="009275D9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EC565E" w:rsidRPr="009275D9" w:rsidRDefault="00EC565E" w:rsidP="009275D9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посади,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прізвище,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власне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043702" w:rsidRPr="009275D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275D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EC565E" w:rsidRPr="00043702" w:rsidRDefault="00EC565E" w:rsidP="00EC565E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Процес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(його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окремої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дії)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фіксування: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0"/>
        <w:gridCol w:w="3585"/>
      </w:tblGrid>
      <w:tr w:rsidR="00EC565E" w:rsidRPr="00043702" w:rsidTr="00602C8E">
        <w:trPr>
          <w:trHeight w:val="60"/>
        </w:trPr>
        <w:tc>
          <w:tcPr>
            <w:tcW w:w="3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2" name="Рисунок 42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суб’єктом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</w:p>
        </w:tc>
        <w:tc>
          <w:tcPr>
            <w:tcW w:w="1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3" name="Рисунок 43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аудіотехніки</w:t>
            </w:r>
          </w:p>
        </w:tc>
      </w:tr>
      <w:tr w:rsidR="00EC565E" w:rsidRPr="00043702" w:rsidTr="00602C8E">
        <w:trPr>
          <w:trHeight w:val="60"/>
        </w:trPr>
        <w:tc>
          <w:tcPr>
            <w:tcW w:w="3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відеотехніки</w:t>
            </w:r>
          </w:p>
        </w:tc>
      </w:tr>
      <w:tr w:rsidR="00EC565E" w:rsidRPr="00043702" w:rsidTr="00602C8E">
        <w:trPr>
          <w:trHeight w:val="60"/>
        </w:trPr>
        <w:tc>
          <w:tcPr>
            <w:tcW w:w="324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C565E" w:rsidRPr="00043702" w:rsidRDefault="00AB6080" w:rsidP="00EC565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5" name="Рисунок 45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посадовою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особою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6" name="Рисунок 46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аудіотехніки</w:t>
            </w:r>
          </w:p>
        </w:tc>
      </w:tr>
      <w:tr w:rsidR="00EC565E" w:rsidRPr="00043702" w:rsidTr="00602C8E">
        <w:trPr>
          <w:trHeight w:val="60"/>
        </w:trPr>
        <w:tc>
          <w:tcPr>
            <w:tcW w:w="324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AB6080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7" name="Рисунок 47" descr="C:\1Работа\Robota\MINYUST\2021\12\84\RE36987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1Работа\Robota\MINYUST\2021\12\84\RE36987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565E"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відеотехніки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93827" w:rsidRDefault="00043702" w:rsidP="00EC565E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D93827" w:rsidP="00EC565E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</w:p>
    <w:p w:rsidR="00EC565E" w:rsidRPr="00043702" w:rsidRDefault="00EC565E" w:rsidP="00D93827">
      <w:pPr>
        <w:shd w:val="clear" w:color="auto" w:fill="FFFFFF"/>
        <w:spacing w:before="113" w:after="28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lastRenderedPageBreak/>
        <w:t>ПЕРЕЛІК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питань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"/>
        <w:gridCol w:w="3632"/>
        <w:gridCol w:w="1259"/>
        <w:gridCol w:w="1139"/>
        <w:gridCol w:w="471"/>
        <w:gridCol w:w="471"/>
        <w:gridCol w:w="483"/>
        <w:gridCol w:w="2120"/>
      </w:tblGrid>
      <w:tr w:rsidR="00EC565E" w:rsidRPr="00043702" w:rsidTr="00940CD2">
        <w:trPr>
          <w:trHeight w:val="60"/>
        </w:trPr>
        <w:tc>
          <w:tcPr>
            <w:tcW w:w="3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17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суб’єктом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ризику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суб’єкта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Позиція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щодо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негативного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впливу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законодавства</w:t>
            </w:r>
            <w:r w:rsidR="00D938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балів)**</w:t>
            </w:r>
          </w:p>
        </w:tc>
        <w:tc>
          <w:tcPr>
            <w:tcW w:w="6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Нормативне</w:t>
            </w:r>
          </w:p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</w:p>
        </w:tc>
      </w:tr>
      <w:tr w:rsidR="00EC565E" w:rsidRPr="00043702" w:rsidTr="00940CD2">
        <w:trPr>
          <w:cantSplit/>
          <w:trHeight w:val="3247"/>
        </w:trPr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D9382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розглядалося*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EC565E" w:rsidRPr="00043702" w:rsidTr="00D93827">
        <w:trPr>
          <w:trHeight w:val="4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639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Питання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перевірки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дотримання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законодавства,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br/>
              <w:t>які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поширюються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всіх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суб’єктів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господарювання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відповідній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сфері</w:t>
            </w:r>
          </w:p>
        </w:tc>
      </w:tr>
      <w:tr w:rsidR="00EC565E" w:rsidRPr="00043702" w:rsidTr="00940CD2">
        <w:trPr>
          <w:trHeight w:val="150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приписів,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розпоряджень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порушень,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виявлених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попередньої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виконано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восьма,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дев’ята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Закону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877-V</w:t>
            </w:r>
          </w:p>
        </w:tc>
      </w:tr>
      <w:tr w:rsidR="00EC565E" w:rsidRPr="00043702" w:rsidTr="00940CD2">
        <w:trPr>
          <w:trHeight w:val="222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Відносини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перевізником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регулюються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договором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Закону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1914-ІV;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листопада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232/94-ВР</w:t>
            </w:r>
          </w:p>
        </w:tc>
      </w:tr>
      <w:tr w:rsidR="00EC565E" w:rsidRPr="00043702" w:rsidTr="00940CD2">
        <w:trPr>
          <w:trHeight w:val="28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Договір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перевізником,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укладений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договору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1735;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договір,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листопада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1045</w:t>
            </w:r>
          </w:p>
        </w:tc>
      </w:tr>
      <w:tr w:rsidR="00EC565E" w:rsidRPr="00043702" w:rsidTr="00940CD2">
        <w:trPr>
          <w:trHeight w:val="132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викладені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інструкціях,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електроустановок,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перебуванням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проїзній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вулиць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коліях,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71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підвищеною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небезпекою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допущені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молодше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років</w:t>
            </w:r>
            <w:r w:rsidR="00EC036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(водії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D9382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EC036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пройшли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нормативно-правових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охорони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89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Працівники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безпосередньо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електроустановок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допущені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дотриманням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нормативно-правових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стосуються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функціональних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обов’язків,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пройшли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стажування,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склали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іспити,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їм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присвоєно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відповідну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кваліфікаційну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групу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електробезпеки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71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вступного,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вступного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кожного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2.1.1,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71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розробленою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урахуванням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наочних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посібників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44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ознайомлені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одержання,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екіпірування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134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передрейсового,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80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підготовки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функціонування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гальмівних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гідроустаткування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80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додержанням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ПДР,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ПЕТТ,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80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дорожньо-транспортної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ПДР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ПЕТТ;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28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9.8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153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вступного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залежно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кваліфікації,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перевезень,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моделі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будуть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працювати,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проходять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4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завершення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видаються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довідкові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користування</w:t>
            </w:r>
            <w:r w:rsidR="001812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(службова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схема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(тролейбусних)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4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вперше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виходять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раніше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працювали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3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оформляється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вступного,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3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книжці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(в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«Особливі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відмітки»)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допуск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4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(депо,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поїздки)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різні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Ознайомлення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проводитися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карт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еталонних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ситуаційних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перегонів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текстових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розміщених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включають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себе: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розташування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майданчику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відстою;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метеорологічні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(погодні)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лінії;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(адреси)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проїзній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доріг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18.4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(введення,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переміщення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зупинок,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знаків,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регулювання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обмеження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зміна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розпоряджень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адміністрації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наслідки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скоєні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восьмий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штампів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текстом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(«Обережно!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Ожеледиця!»,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«Обережно!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Туман!»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т.п.),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проставляються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підпорядкованими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одному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EC0363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щомісяця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покладається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протоколом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(загальнодеповського)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Протокол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(загальнодеповського)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(служби)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особою,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маршрутного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талон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контрольно-показових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книжки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здійснюють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64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28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Протокол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(служби)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періодичних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талон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контрольно-показових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книжки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Загальнодеповський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щоквартально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940CD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940CD2"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EC565E" w:rsidRPr="00043702" w:rsidRDefault="00940CD2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сезонних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усіма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незалежно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65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Теоретична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розробленою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урахуванням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65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водіям-першозимникам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книжці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«Особливі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відмітки»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2.5.3.9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2.5.3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0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сезонних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реєструється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Сезоні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весняно-літньої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FE717B">
        <w:trPr>
          <w:trHeight w:val="2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4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38.1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направленням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4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38.2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водієм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протягом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півтора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місяця;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60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38.3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направленням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специфічними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(маневрові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екскурсія,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2.7.1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</w:tr>
      <w:tr w:rsidR="00EC565E" w:rsidRPr="00043702" w:rsidTr="00940CD2">
        <w:trPr>
          <w:trHeight w:val="97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буксирування,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замовленням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вантажів)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51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вступного,</w:t>
            </w:r>
            <w:r w:rsidR="00EC036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2.7.5.4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2.7.5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87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утворено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атестаційну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атестаційної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присвоєння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(підвищення)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класу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Протоколи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атестаційної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підвищення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(зниження)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теоретичних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їхніх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навичок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трамваєм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(тролейбусом)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EC0363">
        <w:trPr>
          <w:trHeight w:val="79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Атестаційна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51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45.1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940CD2">
        <w:trPr>
          <w:trHeight w:val="155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45.2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розглядає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присвоєння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підвищення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водіям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1.4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940CD2">
        <w:trPr>
          <w:trHeight w:val="155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45.3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розглядає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дисципліни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недоліків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</w:tr>
      <w:tr w:rsidR="00EC565E" w:rsidRPr="00043702" w:rsidTr="00940CD2">
        <w:trPr>
          <w:trHeight w:val="118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проводяться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</w:tr>
      <w:tr w:rsidR="00EC565E" w:rsidRPr="00043702" w:rsidTr="00940CD2">
        <w:trPr>
          <w:trHeight w:val="118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підсумками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розгляд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</w:tr>
      <w:tr w:rsidR="00EC565E" w:rsidRPr="00043702" w:rsidTr="00940CD2">
        <w:trPr>
          <w:trHeight w:val="137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48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підсумками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розробляються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спрямовані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причин,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поліпшення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профілактичної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</w:tr>
      <w:tr w:rsidR="00EC565E" w:rsidRPr="00043702" w:rsidTr="00940CD2">
        <w:trPr>
          <w:trHeight w:val="118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незалежно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скоєння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наслідків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обліковані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</w:tr>
      <w:tr w:rsidR="00EC565E" w:rsidRPr="00043702" w:rsidTr="00940CD2">
        <w:trPr>
          <w:trHeight w:val="118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виникнення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ДТП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5.1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</w:tr>
      <w:tr w:rsidR="00EC565E" w:rsidRPr="00043702" w:rsidTr="00F52436">
        <w:trPr>
          <w:trHeight w:val="63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засоби: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81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51.1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чисельності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зайнятих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експлуатацією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введено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посаду</w:t>
            </w:r>
            <w:r w:rsidR="005D2F2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фахівця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третя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Закону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3353-XII</w:t>
            </w:r>
          </w:p>
        </w:tc>
      </w:tr>
      <w:tr w:rsidR="00EC565E" w:rsidRPr="00043702" w:rsidTr="00940CD2">
        <w:trPr>
          <w:trHeight w:val="81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51.2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чисельності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зайнятих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експлуатацією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500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створено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5D2F2A">
        <w:trPr>
          <w:trHeight w:val="63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законодавства,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стандартів,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стосуються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руху,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знань;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1A3F2B">
        <w:trPr>
          <w:trHeight w:val="2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впровадження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наукових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розробок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позитивного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досвіду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52.3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атестаційної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комісій;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постійне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функціонування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(класу)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аварійності,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обставини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виникнення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дорожньо-транспортних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роботою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додержанням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восьмий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5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діяльність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десятий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дорожньо-транспортних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вчинених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обставин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виникнення,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подає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пропозиції;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одинадцятий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52.9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щомісячно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звіряє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Національної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поліції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відомості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дорожньо-транспортні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причетні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водіями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п’ятнадцятий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52.10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спецмедпунктів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відділом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кадрів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«в»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дійсну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довідку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придатності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1.3,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передрейсові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лікарями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лікувального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профілю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молодшими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освітою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«сестринська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справа»,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«лікувальна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відведеному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приміщенні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оснащене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Табеля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оснащення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постійного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приміщення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57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заносяться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власноруч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заповнює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передрейсового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ставить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«Підпис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скарг»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післярейсового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оглядів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робиться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запис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ньому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контролю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здоров’я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автотранспортного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тиждень.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63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підсумованого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охоплює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простої,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очікування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змогу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доїхати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збільшена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протягом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введений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поділом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перевищувала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введений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поділом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двох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урахування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регулюється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(змінності)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(змінності)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69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(змінності)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вихідних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(змінності)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(міжзмінного)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щотижневого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51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протягом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чотирьох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годин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перерву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45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хвилин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хвилин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кожна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протягом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усього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періоду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керування.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настає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(міжзмінного)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3.1,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III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6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(міжзмінного)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протягом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будь-якого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24-годинного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рахуючи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початку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(зміни),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послідовних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годин.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Якщо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щоденного</w:t>
            </w:r>
            <w:r w:rsid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(міжзмінного)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відпочинку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скорочено,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збільшено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наступні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додаткові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вільні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4.2.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табеля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5.1.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простоїв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ведеться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шляховому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5.5.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75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(змінності)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враховує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витрачається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водіями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здавання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водієм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щозмінних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6.2.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талона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149</w:t>
            </w:r>
          </w:p>
        </w:tc>
      </w:tr>
      <w:tr w:rsidR="00EC565E" w:rsidRPr="00043702" w:rsidTr="00940CD2">
        <w:trPr>
          <w:trHeight w:val="97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паспорті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тягової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підстанції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експлуатуються,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пройшли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зроблено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«Справна»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постановоюКМУ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149</w:t>
            </w:r>
          </w:p>
        </w:tc>
      </w:tr>
      <w:tr w:rsidR="00EC565E" w:rsidRPr="00043702" w:rsidTr="00940CD2">
        <w:trPr>
          <w:trHeight w:val="24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веде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паспорти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споруди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пронумерованих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(книги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температурно-напруженої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температурний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позначенням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температури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закріпленні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нитки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виконавця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початком</w:t>
            </w:r>
            <w:r w:rsidR="001A3F2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важкими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1A3F2B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обстежуються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тип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габарити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відрізняються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експлуатуються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1A3F2B">
        <w:trPr>
          <w:trHeight w:val="79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допускається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рейок,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зношення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перевищує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норми;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97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дерев’яних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шпал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механічним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зносом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підкладкою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глибиною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більше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подовжньою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тріщиною,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сягає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підошви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гнилизною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просякнутих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</w:tc>
      </w:tr>
      <w:tr w:rsidR="00EC565E" w:rsidRPr="00043702" w:rsidTr="00940CD2">
        <w:trPr>
          <w:trHeight w:val="79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масляним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антисептиком,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залізобетонних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шпал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наскрізними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тріщинами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руйнування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бетону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закладних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деталей;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перекосом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(просідання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однієї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другої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рейкової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нитки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розташованих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навскіс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відстані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8м)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винятком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оберненими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з’єднаннях;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місцевими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просіданнями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ниток,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однієї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нитки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відносно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мм;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стрілок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хрестовин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перевищення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граничних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зношення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складників;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3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81.6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ширина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прямих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спецчастинах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збільшилась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нормальної,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більш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урахуванням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бокового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зносу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мм.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Звуження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ширини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трамвайної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допускається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ніж: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прямих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спецчастин;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ділянок.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Ширина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вимірюється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поверхні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головок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відхилення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відносно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проєктом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узвишшя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головки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зовнішньої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головкою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внутрішньої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радіуса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розташування.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вузької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відхилення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перевищення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допускається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25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проміле;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збірних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рейкових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стиків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ослаблення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кріплення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накладок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болтовими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з’єднаннями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пружинними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шайбами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електроз’єднувачів,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підвищення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електропровідності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стиків,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приєднання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негативних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(мінусових)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всіма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нитками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обхідних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83A38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спецчастинах,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площу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перерізу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еквівалентне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електропровідністю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з’єднання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площею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перерізу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P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виготовлене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міді,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площа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поверхні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приварювання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500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P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81.10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міжрейкових,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міжколійних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обвідних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з’єднань,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площа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перерізу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електропровідністю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еквівалентне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міді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площею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P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площа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поверхні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контакту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місці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приварювання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250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мм</w:t>
            </w:r>
            <w:r w:rsidRP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облаштувань,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покладені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0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непередбачених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випадків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аварійно-відновлювальні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повинні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укомплектовані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досвідченими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механізмами,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інструментом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облаштування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оглядаються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персоналом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83A38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радіусом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винятком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кривих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ухилах</w:t>
            </w:r>
            <w:r w:rsidR="00F83A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зупинок,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змащуються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нормами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витрат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мастильних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матеріалів,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затвердженими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електрифікованих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стрілок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графіком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затвердженими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електрифікованих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стрілок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допуску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електроустановках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пройшли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планових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стрілочних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переводів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дистанційним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приводом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допускається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електрифікованих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стрілок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обставин,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1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керівництво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експлуатацією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виникаючих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пошкоджень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зв’язок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прийняття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узгоджених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83A38">
        <w:trPr>
          <w:trHeight w:val="43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92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диспетчерському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знаходяться: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аварійно-відновлювальними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з’єднань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обмеження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трамваїв;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сходів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затримок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B813B6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укладка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домедичної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відповідного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рівня;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восьмий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92.8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телефонів,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переговори;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дев’ятий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92.9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комплект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десятий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IV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споруди,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елементи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улаштування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зупинок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станцій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B813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кінцевих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станцій,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проміжних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контрольних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пунктів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зупинки,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здійснення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їхнього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поточного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планових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затверджено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майданчики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кінцевих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станцій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освітлюються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трамвайні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кінцеві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станції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забезпечені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запасом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піску,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необхідного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поповнення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пісочниць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B813B6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нормативно-правовими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цій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сфері,</w:t>
            </w:r>
            <w:r w:rsidR="00B813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(служби)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07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електроустановках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вносяться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процесі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реконструкції,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відображені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схемах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кресленнях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підстанції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диспетчерському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районному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пункті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комплект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B813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дев’ятий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60.2-33886519-0003:2006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електрогосподарстві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десятий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B813B6">
        <w:trPr>
          <w:trHeight w:val="83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будь-які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пристроях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відповідальної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одинадцятий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104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електрогосподарстві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кабельну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відомості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будь-яку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застосування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з’єднувальних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муфт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кабельних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надійне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споживачів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нормативно-правових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сфері,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пристроїв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заземлення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заземлювачів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оперативному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тягової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підстанції,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вжиті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восьмий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стаціонарний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заземлювач,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перебуває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паспорт,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містить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схему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заземлення,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перевірок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будь-які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заземлювачах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відображені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керівництво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ліквідацією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об’єктах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здійснює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диспетчер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яку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покладено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цих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функцій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автотранспортом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швидкої</w:t>
            </w:r>
            <w:r w:rsidR="00B813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ремонтно-налагоджувальними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використовуються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розмови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збереження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B813B6">
        <w:trPr>
          <w:trHeight w:val="2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центральним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диспетчером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прийняття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узгоджених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116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виникнення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ситуацій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пошкоджень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об’єктах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електропостачання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покладено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укомплектований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досвідом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трьох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перебуває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підпорядкуванні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розпорядженні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автотранспорт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призначений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кабельної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тягових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підстанцій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сигналізації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оглядаються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персоналом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графіком,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затвердженим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світлофорів,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знаків,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призначених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регулювання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43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ДСТУ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4092,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ДСТУ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3308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ДСТУ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121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комплект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відбулися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упродовж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часу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експлуатації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структурні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адміністративно-службовим,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диспетчерським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графіком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VIII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постачальника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утвореною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зареєстровані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законодавства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36;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99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(моделі,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типу),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раніше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перебував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експлуатації,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організовано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1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відпрацював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списаний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членами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комісії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дозвіл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(погодження)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власника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127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подовжено</w:t>
            </w:r>
            <w:r w:rsidR="00B813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(капітально-відновлювального)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кузова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продовження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переобладнання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підприємствами-виробниками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відображено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конструкцію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79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переоснащеного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(переобладнаного)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було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неможливо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погодити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підприємством-виробником,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позитивних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випробувань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обов’язковими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застосування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акредитованою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(атестованою)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лабораторією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(протоколів,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B813B6">
        <w:trPr>
          <w:trHeight w:val="62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невідповідності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реєстрацію;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4D10C8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130.3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завірених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досягнення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граничного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пробігу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(граничного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служби),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якщо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подовжено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часткової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екіпіровки,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130.6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відсутності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підтверджуючих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проходження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4D10C8">
        <w:trPr>
          <w:trHeight w:val="11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можуть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спричинити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ситуацію,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зокрема: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гальмівні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C5BFB">
        <w:trPr>
          <w:trHeight w:val="2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колісні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візки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131.3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колеса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пневматичне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трансмісія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підвіска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кузов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29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прилади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зчеплення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131.9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електронне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132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належного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покладено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структурних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здійснюють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обслуговування,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експлуатацію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щомісячними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особою,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особою,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1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таблиці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59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(ЩО),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яке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гарантовану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працездатність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деталей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трансмісії,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дверей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сигналізації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заявлених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водієм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екіпірування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87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137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проводяться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ТО-1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ТО-2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(діагностичні,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кріпильні,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регулювальні,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мастильні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спрямовані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зниження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інтенсивності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погіршення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параметрів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економію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електроенергії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2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зменшення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негативного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впливу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довкілля)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35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підготовки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весняно-літній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двічі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рік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сезонне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4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піковий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міжрейсове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(МО)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швидкісного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4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карт,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знаходяться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5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потоковим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регламентуванням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обсягів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5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142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ТО-1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виконуються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ранішніми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вечірніми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пасажироперевезень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зняття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7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відповідну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5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інструментом,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комплектуючими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картами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7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майстер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(бригадир)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(відділів)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електробезпеку,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повіреними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откаліброваними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вимірювальної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випробуванням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використовуються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якісні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C5BFB">
        <w:trPr>
          <w:trHeight w:val="65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періодичністю,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зазначеною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таблиці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обсяги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конкретний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обсягах,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інструкціями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агрегатним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методом,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спеціалізовані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цехи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дільниці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капітально-відновлювальний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(настановами)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Освоєння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капітально-відновлювального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раніше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виконувало,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ДСТУ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8634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5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ремонтні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відповідну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укомплектовані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стандартним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79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нестандартним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устаткуванням,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інструментом,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запчастинами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технологічними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картами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155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використовуються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матеріали,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вироби,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запасні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установленому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57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транспорту: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поопераційний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якості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безпосередньо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(майстер,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бригадир),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налагодження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(відділу)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контролю;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якість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забезпечують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випробувальними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стендами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відкаліброваними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повіреними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вимірювальної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остаточний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позитивних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обкатування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пробігом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приймання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категорії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паспортах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формулярах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зроблені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160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графіками,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розробленими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розрахунку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програми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періодичності,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таблицею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проводиться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достовірної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деталей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приховані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відмови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80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запобігання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передчасним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запізнілим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втручанням,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якості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243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деталей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алгоритмами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(послідовність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дій),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інструкціями,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відображені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вказівки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застосування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граничних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нормативів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залежно</w:t>
            </w:r>
            <w:r w:rsidR="00FC5BF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діагностування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3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урахуванням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діагностичної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обсягів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процесі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перебування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43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164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виробничо-технічний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вчасне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пробіг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виконаних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витрачених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агрегатів,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деталей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матеріалів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третій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FC5BFB">
        <w:trPr>
          <w:trHeight w:val="116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кожне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(тролейбусне)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(книги)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паперовому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електронному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саме: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повторних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(тролейбусів);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акумуляторних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батарей;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бандажів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колісних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2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шинах;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165.7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ізоляції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струмів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162CC3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одиницю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заведені:</w:t>
            </w:r>
          </w:p>
        </w:tc>
        <w:tc>
          <w:tcPr>
            <w:tcW w:w="288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166.1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(тролейбуса);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166.2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паспорт;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6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166.3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формуляри;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7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166.4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формуляри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на: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тягові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двигуни,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компресори,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високовольтні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допоміжні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двигуни,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колісні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мости,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тягово-зчіпні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прилади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EC565E" w:rsidRPr="00043702" w:rsidTr="00940CD2">
        <w:trPr>
          <w:trHeight w:val="133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моторного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причіпного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один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журнал,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зазначено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реєстраційний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09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відображаються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процесі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проведені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готовність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8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завіреними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відмітками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обслуговування,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заявками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готовність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335A54">
        <w:trPr>
          <w:trHeight w:val="2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повторних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несправності,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одиниці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випускаються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усунення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підтверджених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(підрозділу,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підприємства)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7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отримує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</w:tc>
      </w:tr>
      <w:tr w:rsidR="00EC565E" w:rsidRPr="00043702" w:rsidTr="00940CD2">
        <w:trPr>
          <w:trHeight w:val="8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повертає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уповноваженим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прибуття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передачі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визначений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(підприємства)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залежності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характеру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43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(прийманні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лінії)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засвідчує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придатність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особистим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відведеному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сторінки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яка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(експлуатації)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4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(експлуатація)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маршрут(і)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52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176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(книг)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89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освітлення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заднього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покажчиків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розміри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написів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забезпечують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читання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світлий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доби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відстані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бокового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покажчика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менше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6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інформаційні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таблички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салоні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містять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підготовлений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екіпірований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укомплектований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1,2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перелік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інструментів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запобіжників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одиниці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особою,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уповноваженою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призначений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нарядом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виконує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передбачені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335A54">
        <w:trPr>
          <w:trHeight w:val="833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візуально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приладами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стан,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комплектність,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зовнішній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вигляд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5–7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70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183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дію: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функціонування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гальмівних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штанговловлювачів,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підсилювача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звукової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світлової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сигналізації,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склоочисників,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чіткість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фіксування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автоматичних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вимикачів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силових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дверей,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опалення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зимово-осінній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кондиціювання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(в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весняно-літній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831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ділянках,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функціонування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гальмівних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електро-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гідроустаткування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регламентується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07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проводяться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зниженого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зчеплення,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погіршення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видимості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низьких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температур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3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водіям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видані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даного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осінньо-зимовий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(весняно-літній)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урахуванням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79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особливостей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міста,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40CD2">
        <w:trPr>
          <w:trHeight w:val="22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187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інше,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регіональними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(обласними)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міжнародними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автомобільними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дорогами,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зокрема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підприємства-виробника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Національної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поліції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тягачем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жорстких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буксирів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міжміських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маршрутах,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зв’язку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68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постійні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самоврядування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Національної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поліції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сфері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21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тимчасові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певний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завчасного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пасажирських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перевезеннях,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самоврядування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уповноваженими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Національної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поліції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сфері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335A54">
        <w:trPr>
          <w:trHeight w:val="294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спеціальні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організовуються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виробничо-технологічної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договором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юридичних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рішенням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органами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місцевого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самоврядування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трамваїв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розкладом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15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маршрутах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регламентує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наряд,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погоджений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енергозабезпечення,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структурними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беруть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участь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плануванні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пасажироперевезень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затверджений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керівником</w:t>
            </w:r>
            <w:r w:rsid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рухомий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розкладом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дозволом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0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документом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одиниці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підписаний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(депо)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особою,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випробувань,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обкатування,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рейсів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відбувається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дозволу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203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197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виїзді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пасажирів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перевіряє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ефективність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гальмівної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рульового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відведених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дільницях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виявлення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несправностей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повідомляє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вказівки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32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виконується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розкладом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розпорядженням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територією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депо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згідно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інструкцією,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затвердженою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1148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здавання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вносить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повторної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книги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повторних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заявок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оперативне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єдиним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розпорядником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собі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книжку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(тролейбуса),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(вагон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поїзду)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шляховий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203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кожній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кінцевій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проводять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зовнішній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постійним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обмеженням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доведені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відома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лінійних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знаками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спільним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розпорядженням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керівників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тимчасові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обмеження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швидкості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ліквідації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аварій,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реконструкції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контактної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мережі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позначено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пересування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(тимчасовими)</w:t>
            </w:r>
            <w:r w:rsidR="00335A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знаками,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щоденно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поінформовано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початком,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глави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наказом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</w:tr>
      <w:tr w:rsidR="00EC565E" w:rsidRPr="00043702" w:rsidTr="00940CD2">
        <w:trPr>
          <w:trHeight w:val="60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електричного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забезпечило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обладнанням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змогу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безперешкодно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користуватися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транспортними</w:t>
            </w:r>
            <w:r w:rsid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послугами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28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875-XII</w:t>
            </w:r>
          </w:p>
        </w:tc>
      </w:tr>
    </w:tbl>
    <w:p w:rsidR="00EC565E" w:rsidRPr="00335A54" w:rsidRDefault="00335A54" w:rsidP="00EC565E">
      <w:pPr>
        <w:shd w:val="clear" w:color="auto" w:fill="FFFFFF"/>
        <w:spacing w:before="85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*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Під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час,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позапланового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заходу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(контролю)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з’ясовуються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лише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ті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питання,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необхідність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перевірки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яких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стала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підставою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здійснення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цього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заходу,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обов’язковим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зазначенням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цих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посвідченні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(направленні)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заходу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державного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нагляду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(контролю),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інші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питання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позначаються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як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«не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335A54">
        <w:rPr>
          <w:rFonts w:ascii="Times New Roman" w:hAnsi="Times New Roman"/>
          <w:color w:val="000000"/>
          <w:sz w:val="20"/>
          <w:szCs w:val="20"/>
          <w:lang w:eastAsia="uk-UA"/>
        </w:rPr>
        <w:t>розглядалося».</w:t>
      </w:r>
    </w:p>
    <w:p w:rsidR="00335A54" w:rsidRDefault="00EC565E" w:rsidP="00EC565E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**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Заповнюється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керівником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уповноваженою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ним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особою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добровільному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порядку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шляхом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присвоєння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кожному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1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4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балів,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де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4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позначає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питання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вимоги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законодавства,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дотри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мання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якої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має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найбільше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адміністративне,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фінансове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або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будь-яке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інше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навантаження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на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суб’єкта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господарювання,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а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1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-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питання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щодо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вимоги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законодавства,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дотримання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якої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не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передбачає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такого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навантаження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на</w:t>
      </w:r>
      <w:r w:rsidR="00043702"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суб’єкта</w:t>
      </w:r>
      <w:r w:rsidR="00043702" w:rsidRPr="00335A5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35A54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господарювання.</w:t>
      </w:r>
    </w:p>
    <w:p w:rsidR="00EC565E" w:rsidRPr="00335A54" w:rsidRDefault="00335A54" w:rsidP="00EC565E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br w:type="page"/>
      </w:r>
    </w:p>
    <w:p w:rsidR="00EC565E" w:rsidRPr="00043702" w:rsidRDefault="00EC565E" w:rsidP="00982F1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ПЕРЕЛІК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нормативно-правових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актів,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відповідно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яких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складено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питань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4030"/>
        <w:gridCol w:w="3211"/>
        <w:gridCol w:w="2522"/>
      </w:tblGrid>
      <w:tr w:rsidR="00EC565E" w:rsidRPr="00043702" w:rsidTr="00982F10">
        <w:trPr>
          <w:trHeight w:val="453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982F1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7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Нормативно-правовий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25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82F1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82F1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нормативно-правового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Мін’юсті</w:t>
            </w:r>
          </w:p>
        </w:tc>
      </w:tr>
      <w:tr w:rsidR="00EC565E" w:rsidRPr="00043702" w:rsidTr="00982F10">
        <w:trPr>
          <w:trHeight w:val="918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25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982F10">
        <w:trPr>
          <w:trHeight w:val="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EC565E" w:rsidRPr="00043702" w:rsidTr="00982F10">
        <w:trPr>
          <w:trHeight w:val="262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7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Закони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захищеності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осіб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Україні»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875-XII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дорожній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3353-XII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листопада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232/94-ВР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29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1914-ІV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засади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сфері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господарської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877-V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262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7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Постанови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Міністрів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</w:tc>
      </w:tr>
      <w:tr w:rsidR="00EC565E" w:rsidRPr="00043702" w:rsidTr="00982F10">
        <w:trPr>
          <w:trHeight w:val="98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міністерств,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центральних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виконавчої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влади,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об’єднань,</w:t>
            </w:r>
            <w:r w:rsidR="00982F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організацій»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80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вдосконалення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технічним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забезпеченням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безпеки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1997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перевезень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міським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електротранспортом»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98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Постанова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Кабінету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Міністрів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договору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міським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змін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перевезень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міським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електротранспортом»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листопада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982F10">
        <w:trPr>
          <w:trHeight w:val="262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97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Нормативно-правові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акти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міністерств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органів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виконавчої</w:t>
            </w:r>
            <w:r w:rsid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влади</w:t>
            </w:r>
          </w:p>
        </w:tc>
      </w:tr>
      <w:tr w:rsidR="00EC565E" w:rsidRPr="00043702" w:rsidTr="00982F10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комітету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житлово-комунального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556/7877</w:t>
            </w:r>
          </w:p>
        </w:tc>
      </w:tr>
      <w:tr w:rsidR="00EC565E" w:rsidRPr="00043702" w:rsidTr="00982F10">
        <w:trPr>
          <w:trHeight w:val="80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комітету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житлово-комунального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виробничих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інструктажів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трамвайних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вагонів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тролейбусів»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528/9127</w:t>
            </w:r>
          </w:p>
        </w:tc>
      </w:tr>
      <w:tr w:rsidR="00EC565E" w:rsidRPr="00043702" w:rsidTr="00982F10">
        <w:trPr>
          <w:trHeight w:val="80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комітету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житлово-комунального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атестаційну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комісію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підприємств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міського</w:t>
            </w:r>
            <w:r w:rsid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електротранспорту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кваліфікації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березня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червня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806/9405</w:t>
            </w:r>
          </w:p>
        </w:tc>
      </w:tr>
      <w:tr w:rsidR="00EC565E" w:rsidRPr="00043702" w:rsidTr="00982F10">
        <w:trPr>
          <w:trHeight w:val="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комітету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питань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житлово-комунального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порядок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розслідування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дорожньо-транспортних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пригод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міському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електротранспорті»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липня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895/9494</w:t>
            </w:r>
          </w:p>
        </w:tc>
      </w:tr>
      <w:tr w:rsidR="00EC565E" w:rsidRPr="00043702" w:rsidTr="00982F10">
        <w:trPr>
          <w:trHeight w:val="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Спільний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Міністерства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охорони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здоров’я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Міністерства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внутрішніх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справ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медичний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огляд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кандидатів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65/80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308/22840</w:t>
            </w:r>
          </w:p>
        </w:tc>
      </w:tr>
      <w:tr w:rsidR="00EC565E" w:rsidRPr="00043702" w:rsidTr="00982F10">
        <w:trPr>
          <w:trHeight w:val="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Міністерства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інфраструктури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982F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водіїв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вересня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2014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1181/25958</w:t>
            </w:r>
          </w:p>
        </w:tc>
      </w:tr>
      <w:tr w:rsidR="00EC565E" w:rsidRPr="00043702" w:rsidTr="00982F10">
        <w:trPr>
          <w:trHeight w:val="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Наказ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Міністерства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інфраструктури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 w:rsidR="00982F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затвердження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Правил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експлуатації</w:t>
            </w:r>
            <w:r w:rsidR="00982F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трамвая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тролейбуса»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лютого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</w:p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квітня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353/34636</w:t>
            </w:r>
          </w:p>
        </w:tc>
      </w:tr>
    </w:tbl>
    <w:p w:rsidR="00982F10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982F10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p w:rsidR="00EC565E" w:rsidRPr="00043702" w:rsidRDefault="00EC565E" w:rsidP="00982F1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ОПИС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виявлених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порушень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вимог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законодавства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результатами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p w:rsidR="00EC565E" w:rsidRPr="00043702" w:rsidRDefault="00AB6080" w:rsidP="00EC565E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10B5A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48" name="Рисунок 48" descr="квадра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вадрат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відсутність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законодавства;</w:t>
      </w:r>
    </w:p>
    <w:p w:rsidR="00EC565E" w:rsidRPr="00043702" w:rsidRDefault="00AB6080" w:rsidP="00EC565E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10B5A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49" name="Рисунок 49" descr="квадра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вадрат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044"/>
        <w:gridCol w:w="2198"/>
        <w:gridCol w:w="1969"/>
        <w:gridCol w:w="2398"/>
      </w:tblGrid>
      <w:tr w:rsidR="00EC565E" w:rsidRPr="00043702" w:rsidTr="00A10B5A">
        <w:trPr>
          <w:trHeight w:val="60"/>
        </w:trPr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9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порушено,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статей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(частин,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пунктів,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абзаців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Опис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фактичних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обставин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доказів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(письмових,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речових,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інших),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підтверджують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Опис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негативних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наслідків,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настали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порушень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Ризик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настання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негативних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наслідків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провадження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господарської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(зазначається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формою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визначення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ризиків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настання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негативних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наслідків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повноваження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господарської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діяльності)</w:t>
            </w:r>
          </w:p>
        </w:tc>
      </w:tr>
      <w:tr w:rsidR="00EC565E" w:rsidRPr="00043702" w:rsidTr="00A10B5A">
        <w:trPr>
          <w:trHeight w:val="6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C565E" w:rsidRPr="00043702" w:rsidTr="00A10B5A">
        <w:trPr>
          <w:trHeight w:val="6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потерпілих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наявності):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 w:rsidR="00A10B5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</w:p>
    <w:p w:rsidR="00EC565E" w:rsidRPr="00043702" w:rsidRDefault="00EC565E" w:rsidP="00EC565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Положення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законодавства,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якими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встановлено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відповідальність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порушення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вимог</w:t>
      </w:r>
      <w:r w:rsid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законодавства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наявності):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  <w:r w:rsidR="00A10B5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A10B5A" w:rsidRDefault="00043702" w:rsidP="00EC565E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A10B5A" w:rsidP="00EC565E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</w:p>
    <w:p w:rsidR="00EC565E" w:rsidRPr="00043702" w:rsidRDefault="00EC565E" w:rsidP="00A10B5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питань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суб’єктів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господарювання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здійснення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контролю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діями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(бездіяльністю)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посадових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проводили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захід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619"/>
        <w:gridCol w:w="574"/>
        <w:gridCol w:w="440"/>
        <w:gridCol w:w="2035"/>
        <w:gridCol w:w="2111"/>
      </w:tblGrid>
      <w:tr w:rsidR="00EC565E" w:rsidRPr="00043702" w:rsidTr="00A10B5A">
        <w:trPr>
          <w:trHeight w:val="60"/>
        </w:trPr>
        <w:tc>
          <w:tcPr>
            <w:tcW w:w="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C565E" w:rsidRPr="00043702" w:rsidRDefault="00EC565E" w:rsidP="00A10B5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22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контролю</w:t>
            </w:r>
          </w:p>
        </w:tc>
        <w:tc>
          <w:tcPr>
            <w:tcW w:w="14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10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«Про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засади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сфері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господарської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EC565E" w:rsidRPr="00043702" w:rsidTr="00A10B5A">
        <w:trPr>
          <w:trHeight w:val="1914"/>
        </w:trPr>
        <w:tc>
          <w:tcPr>
            <w:tcW w:w="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обов’язковим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посадових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0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565E" w:rsidRPr="00043702" w:rsidRDefault="00EC565E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суб’єкт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письмово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повідомлений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пізніше</w:t>
            </w:r>
            <w:r w:rsidR="00A10B5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ніж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календарних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днів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(направлення)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службове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засвідчує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пред’явлено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п’ята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абзац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Копію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посвідчення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(направлення)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п’ята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7,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абзаци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початком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посадовими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запис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A10B5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журналу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суб’єкта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господарювання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дванадцята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</w:tr>
      <w:tr w:rsidR="00EC565E" w:rsidRPr="00043702" w:rsidTr="00A10B5A">
        <w:trPr>
          <w:trHeight w:val="6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позапланового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(контролю)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розглядалися</w:t>
            </w:r>
            <w:r w:rsidR="00A10B5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лише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питання,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стали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підставою</w:t>
            </w:r>
            <w:r w:rsidR="00A10B5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направленні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(посвідченні)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проведення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такого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Частина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перша</w:t>
            </w:r>
          </w:p>
          <w:p w:rsidR="00EC565E" w:rsidRPr="00043702" w:rsidRDefault="00EC565E" w:rsidP="00EC565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 w:rsid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A10B5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зауваження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заперечення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складеного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перевірки*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9"/>
        <w:gridCol w:w="8540"/>
      </w:tblGrid>
      <w:tr w:rsidR="00EC565E" w:rsidRPr="00043702" w:rsidTr="00A10B5A">
        <w:trPr>
          <w:trHeight w:val="60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41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зауваження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заперечення</w:t>
            </w:r>
          </w:p>
        </w:tc>
      </w:tr>
      <w:tr w:rsidR="00EC565E" w:rsidRPr="00043702" w:rsidTr="00A10B5A">
        <w:trPr>
          <w:trHeight w:val="6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A10B5A">
        <w:trPr>
          <w:trHeight w:val="6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p w:rsidR="00EC565E" w:rsidRPr="00043702" w:rsidRDefault="00EC565E" w:rsidP="00A10B5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Оцінка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суб’єкта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професійного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рівня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посадових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проводили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захід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(від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A10B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найвища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схвальна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оцінка)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6"/>
        <w:gridCol w:w="2657"/>
        <w:gridCol w:w="2656"/>
      </w:tblGrid>
      <w:tr w:rsidR="00EC565E" w:rsidRPr="00043702" w:rsidTr="00A10B5A">
        <w:trPr>
          <w:trHeight w:val="60"/>
        </w:trPr>
        <w:tc>
          <w:tcPr>
            <w:tcW w:w="2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посадової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 w:rsid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Професійна</w:t>
            </w: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компетентність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C565E" w:rsidRPr="00043702" w:rsidRDefault="00EC565E" w:rsidP="00EC565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Доброчесність</w:t>
            </w:r>
          </w:p>
        </w:tc>
      </w:tr>
      <w:tr w:rsidR="00EC565E" w:rsidRPr="00043702" w:rsidTr="00A10B5A">
        <w:trPr>
          <w:trHeight w:val="60"/>
        </w:trPr>
        <w:tc>
          <w:tcPr>
            <w:tcW w:w="2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A10B5A">
        <w:trPr>
          <w:trHeight w:val="60"/>
        </w:trPr>
        <w:tc>
          <w:tcPr>
            <w:tcW w:w="2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565E" w:rsidRPr="00043702" w:rsidTr="00A10B5A">
        <w:trPr>
          <w:trHeight w:val="60"/>
        </w:trPr>
        <w:tc>
          <w:tcPr>
            <w:tcW w:w="2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EC565E" w:rsidRPr="00043702" w:rsidRDefault="00043702" w:rsidP="00EC5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A10B5A" w:rsidRDefault="00A10B5A" w:rsidP="00EC565E">
      <w:pPr>
        <w:shd w:val="clear" w:color="auto" w:fill="FFFFFF"/>
        <w:spacing w:before="227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EC565E"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*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Частина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акта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заповнюється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бажанням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(керівником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суб’єкта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господарювання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уповноваженою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ним</w:t>
      </w:r>
      <w:r w:rsidR="00043702" w:rsidRPr="00A10B5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EC565E" w:rsidRPr="00A10B5A">
        <w:rPr>
          <w:rFonts w:ascii="Times New Roman" w:hAnsi="Times New Roman"/>
          <w:color w:val="000000"/>
          <w:sz w:val="20"/>
          <w:szCs w:val="20"/>
          <w:lang w:eastAsia="uk-UA"/>
        </w:rPr>
        <w:t>особою).</w:t>
      </w:r>
    </w:p>
    <w:p w:rsidR="00EC565E" w:rsidRPr="00043702" w:rsidRDefault="00EC565E" w:rsidP="00A10B5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Посадові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Державної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служби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України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безпеки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транспорті: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0"/>
        <w:gridCol w:w="2166"/>
        <w:gridCol w:w="4019"/>
      </w:tblGrid>
      <w:tr w:rsidR="00EC565E" w:rsidRPr="00043702" w:rsidTr="00A10B5A">
        <w:trPr>
          <w:trHeight w:val="60"/>
        </w:trPr>
        <w:tc>
          <w:tcPr>
            <w:tcW w:w="1970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970" w:type="pct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EC565E" w:rsidRPr="00043702" w:rsidTr="00A10B5A">
        <w:trPr>
          <w:trHeight w:val="60"/>
        </w:trPr>
        <w:tc>
          <w:tcPr>
            <w:tcW w:w="1970" w:type="pct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6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970" w:type="pct"/>
            <w:tcMar>
              <w:top w:w="113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A10B5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Керівник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суб’єкта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уповноважена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ним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особа: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0"/>
        <w:gridCol w:w="2166"/>
        <w:gridCol w:w="4019"/>
      </w:tblGrid>
      <w:tr w:rsidR="00EC565E" w:rsidRPr="00043702" w:rsidTr="00A10B5A">
        <w:trPr>
          <w:trHeight w:val="60"/>
        </w:trPr>
        <w:tc>
          <w:tcPr>
            <w:tcW w:w="1970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970" w:type="pct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EC565E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Треті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особи,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брали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участь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заходу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2139"/>
        <w:gridCol w:w="4096"/>
      </w:tblGrid>
      <w:tr w:rsidR="00EC565E" w:rsidRPr="00043702" w:rsidTr="00A10B5A">
        <w:trPr>
          <w:trHeight w:val="60"/>
        </w:trPr>
        <w:tc>
          <w:tcPr>
            <w:tcW w:w="1945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4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07" w:type="pct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EC565E" w:rsidRPr="00043702" w:rsidTr="00A10B5A">
        <w:trPr>
          <w:trHeight w:val="60"/>
        </w:trPr>
        <w:tc>
          <w:tcPr>
            <w:tcW w:w="1945" w:type="pct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48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07" w:type="pct"/>
            <w:tcMar>
              <w:top w:w="113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B6080">
        <w:rPr>
          <w:noProof/>
          <w:lang w:eastAsia="uk-UA"/>
        </w:rPr>
        <w:drawing>
          <wp:inline distT="0" distB="0" distL="0" distR="0">
            <wp:extent cx="336550" cy="127000"/>
            <wp:effectExtent l="0" t="0" r="0" b="0"/>
            <wp:docPr id="50" name="Рисунок 50" descr="C:\1Работа\Robota\MINYUST\2021\12\84\RE36987_img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1Работа\Robota\MINYUST\2021\12\84\RE36987_img_014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сторінках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отримано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B6080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51" name="Рисунок 51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0"/>
        <w:gridCol w:w="2166"/>
        <w:gridCol w:w="4019"/>
      </w:tblGrid>
      <w:tr w:rsidR="00EC565E" w:rsidRPr="00043702" w:rsidTr="00A10B5A">
        <w:trPr>
          <w:trHeight w:val="60"/>
        </w:trPr>
        <w:tc>
          <w:tcPr>
            <w:tcW w:w="1970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посади)</w:t>
            </w:r>
          </w:p>
        </w:tc>
        <w:tc>
          <w:tcPr>
            <w:tcW w:w="10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970" w:type="pct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C565E" w:rsidRPr="00043702" w:rsidRDefault="00EC565E" w:rsidP="00EC565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4370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EC565E" w:rsidRPr="00A10B5A" w:rsidRDefault="00EC565E" w:rsidP="00EC565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043702"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10B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EC565E" w:rsidRPr="00043702" w:rsidRDefault="00043702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C565E" w:rsidRPr="00043702" w:rsidRDefault="00EC565E" w:rsidP="00EC565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Відмітка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відмову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підписання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керівником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суб’єкта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уповноваженою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br/>
        <w:t>ним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особою,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третіми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особами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акта: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A10B5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EC565E" w:rsidRPr="00043702" w:rsidRDefault="00EC565E" w:rsidP="00EC565E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A10B5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EC565E" w:rsidRPr="00043702" w:rsidRDefault="00EC565E" w:rsidP="00EC565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Примірник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цього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акта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надіслано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суб’єкту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господарювання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рекомендованим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листом</w:t>
      </w:r>
      <w:r w:rsidRP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br/>
        <w:t>від</w:t>
      </w:r>
      <w:r w:rsidR="0004370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="00AB6080">
        <w:rPr>
          <w:noProof/>
          <w:lang w:eastAsia="uk-UA"/>
        </w:rPr>
        <w:drawing>
          <wp:inline distT="0" distB="0" distL="0" distR="0">
            <wp:extent cx="1390650" cy="152400"/>
            <wp:effectExtent l="0" t="0" r="0" b="0"/>
            <wp:docPr id="52" name="Рисунок 52" descr="C:\1Работа\Robota\MINYUST\2021\12\84\RE36987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1Работа\Robota\MINYUST\2021\12\84\RE36987_img_00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повідомленням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0437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color w:val="000000"/>
          <w:sz w:val="24"/>
          <w:szCs w:val="24"/>
          <w:lang w:eastAsia="uk-UA"/>
        </w:rPr>
        <w:t>вручення.</w:t>
      </w:r>
    </w:p>
    <w:p w:rsidR="00EC565E" w:rsidRPr="00043702" w:rsidRDefault="00EC565E" w:rsidP="00EC565E">
      <w:pPr>
        <w:shd w:val="clear" w:color="auto" w:fill="FFFFFF"/>
        <w:spacing w:before="170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Т.в.о.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дорожніх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перевезень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безпеки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транспорті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Олександр</w:t>
      </w:r>
      <w:r w:rsid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4370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ЗАДОРОЖНИЙ</w:t>
      </w:r>
    </w:p>
    <w:sectPr w:rsidR="00EC565E" w:rsidRPr="00043702" w:rsidSect="00EC03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квадратик"/>
      </v:shape>
    </w:pict>
  </w:numPicBullet>
  <w:abstractNum w:abstractNumId="0" w15:restartNumberingAfterBreak="0">
    <w:nsid w:val="33F923A4"/>
    <w:multiLevelType w:val="multilevel"/>
    <w:tmpl w:val="0E5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C5699"/>
    <w:multiLevelType w:val="multilevel"/>
    <w:tmpl w:val="FD4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85E9D"/>
    <w:multiLevelType w:val="multilevel"/>
    <w:tmpl w:val="E76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E"/>
    <w:rsid w:val="00043702"/>
    <w:rsid w:val="000D7133"/>
    <w:rsid w:val="00162CC3"/>
    <w:rsid w:val="0017798B"/>
    <w:rsid w:val="0018122F"/>
    <w:rsid w:val="001A3F2B"/>
    <w:rsid w:val="00335A54"/>
    <w:rsid w:val="004D10C8"/>
    <w:rsid w:val="005D2F2A"/>
    <w:rsid w:val="00602C8E"/>
    <w:rsid w:val="009275D9"/>
    <w:rsid w:val="00940CD2"/>
    <w:rsid w:val="00982F10"/>
    <w:rsid w:val="00A10B5A"/>
    <w:rsid w:val="00AB6080"/>
    <w:rsid w:val="00B813B6"/>
    <w:rsid w:val="00D93827"/>
    <w:rsid w:val="00E6708A"/>
    <w:rsid w:val="00EC0363"/>
    <w:rsid w:val="00EC565E"/>
    <w:rsid w:val="00ED1070"/>
    <w:rsid w:val="00ED6D6B"/>
    <w:rsid w:val="00F52436"/>
    <w:rsid w:val="00F83A38"/>
    <w:rsid w:val="00FC5BFB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F365-96F2-4204-84E5-0D79C4A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C56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EC565E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paragraph" w:customStyle="1" w:styleId="msonormal0">
    <w:name w:val="msonorma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EC565E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EC565E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rsid w:val="00EC565E"/>
    <w:rPr>
      <w:rFonts w:cs="Times New Roman"/>
    </w:rPr>
  </w:style>
  <w:style w:type="paragraph" w:customStyle="1" w:styleId="76ch6">
    <w:name w:val="76ch6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a"/>
    <w:rsid w:val="00E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qFormat/>
    <w:rsid w:val="00EC565E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semiHidden/>
    <w:rsid w:val="00EC565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semiHidden/>
    <w:locked/>
    <w:rsid w:val="00EC565E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EC565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semiHidden/>
    <w:locked/>
    <w:rsid w:val="00EC565E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1&#1056;&#1072;&#1073;&#1086;&#1090;&#1072;\Robota\MINYUST\2021\12\84\RE36987_img_002.gif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file:///C:\1&#1056;&#1072;&#1073;&#1086;&#1090;&#1072;\Robota\MINYUST\2021\12\84\RE36987_img_004.gif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file:///C:\1&#1056;&#1072;&#1073;&#1086;&#1090;&#1072;\Robota\MINYUST\2021\12\84\RE36987_img_014.gi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1&#1056;&#1072;&#1073;&#1086;&#1090;&#1072;\Robota\MINYUST\2021\12\84\RE36987_img_001.gif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10" Type="http://schemas.openxmlformats.org/officeDocument/2006/relationships/image" Target="file:///C:\1&#1056;&#1072;&#1073;&#1086;&#1090;&#1072;\Robota\MINYUST\2021\12\84\RE36987_img_003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file:///C:\1&#1056;&#1072;&#1073;&#1086;&#1090;&#1072;\Robota\MINYUST\2021\12\84\RE36987_img_007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63582</Words>
  <Characters>36242</Characters>
  <Application>Microsoft Office Word</Application>
  <DocSecurity>0</DocSecurity>
  <Lines>302</Lines>
  <Paragraphs>199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99625</CharactersWithSpaces>
  <SharedDoc>false</SharedDoc>
  <HLinks>
    <vt:vector size="300" baseType="variant">
      <vt:variant>
        <vt:i4>69928008</vt:i4>
      </vt:variant>
      <vt:variant>
        <vt:i4>3150</vt:i4>
      </vt:variant>
      <vt:variant>
        <vt:i4>1025</vt:i4>
      </vt:variant>
      <vt:variant>
        <vt:i4>1</vt:i4>
      </vt:variant>
      <vt:variant>
        <vt:lpwstr>C:\1Работа\Robota\MINYUST\2021\12\84\RE36987_img_001.gif</vt:lpwstr>
      </vt:variant>
      <vt:variant>
        <vt:lpwstr/>
      </vt:variant>
      <vt:variant>
        <vt:i4>69731400</vt:i4>
      </vt:variant>
      <vt:variant>
        <vt:i4>4800</vt:i4>
      </vt:variant>
      <vt:variant>
        <vt:i4>1027</vt:i4>
      </vt:variant>
      <vt:variant>
        <vt:i4>1</vt:i4>
      </vt:variant>
      <vt:variant>
        <vt:lpwstr>C:\1Работа\Robota\MINYUST\2021\12\84\RE36987_img_002.gif</vt:lpwstr>
      </vt:variant>
      <vt:variant>
        <vt:lpwstr/>
      </vt:variant>
      <vt:variant>
        <vt:i4>69796936</vt:i4>
      </vt:variant>
      <vt:variant>
        <vt:i4>6808</vt:i4>
      </vt:variant>
      <vt:variant>
        <vt:i4>1028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70124616</vt:i4>
      </vt:variant>
      <vt:variant>
        <vt:i4>6928</vt:i4>
      </vt:variant>
      <vt:variant>
        <vt:i4>1030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69796936</vt:i4>
      </vt:variant>
      <vt:variant>
        <vt:i4>7104</vt:i4>
      </vt:variant>
      <vt:variant>
        <vt:i4>1029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70124616</vt:i4>
      </vt:variant>
      <vt:variant>
        <vt:i4>7224</vt:i4>
      </vt:variant>
      <vt:variant>
        <vt:i4>1031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70059080</vt:i4>
      </vt:variant>
      <vt:variant>
        <vt:i4>7424</vt:i4>
      </vt:variant>
      <vt:variant>
        <vt:i4>1037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7558</vt:i4>
      </vt:variant>
      <vt:variant>
        <vt:i4>1038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7788</vt:i4>
      </vt:variant>
      <vt:variant>
        <vt:i4>1039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7924</vt:i4>
      </vt:variant>
      <vt:variant>
        <vt:i4>1040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8056</vt:i4>
      </vt:variant>
      <vt:variant>
        <vt:i4>1041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8194</vt:i4>
      </vt:variant>
      <vt:variant>
        <vt:i4>1042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8322</vt:i4>
      </vt:variant>
      <vt:variant>
        <vt:i4>1043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70124617</vt:i4>
      </vt:variant>
      <vt:variant>
        <vt:i4>9214</vt:i4>
      </vt:variant>
      <vt:variant>
        <vt:i4>1046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70124617</vt:i4>
      </vt:variant>
      <vt:variant>
        <vt:i4>9273</vt:i4>
      </vt:variant>
      <vt:variant>
        <vt:i4>1047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70124616</vt:i4>
      </vt:variant>
      <vt:variant>
        <vt:i4>9331</vt:i4>
      </vt:variant>
      <vt:variant>
        <vt:i4>1032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70124617</vt:i4>
      </vt:variant>
      <vt:variant>
        <vt:i4>9389</vt:i4>
      </vt:variant>
      <vt:variant>
        <vt:i4>1048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70124617</vt:i4>
      </vt:variant>
      <vt:variant>
        <vt:i4>9447</vt:i4>
      </vt:variant>
      <vt:variant>
        <vt:i4>1049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70124617</vt:i4>
      </vt:variant>
      <vt:variant>
        <vt:i4>9505</vt:i4>
      </vt:variant>
      <vt:variant>
        <vt:i4>1050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70124617</vt:i4>
      </vt:variant>
      <vt:variant>
        <vt:i4>9563</vt:i4>
      </vt:variant>
      <vt:variant>
        <vt:i4>1051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70124616</vt:i4>
      </vt:variant>
      <vt:variant>
        <vt:i4>9621</vt:i4>
      </vt:variant>
      <vt:variant>
        <vt:i4>1034</vt:i4>
      </vt:variant>
      <vt:variant>
        <vt:i4>1</vt:i4>
      </vt:variant>
      <vt:variant>
        <vt:lpwstr>C:\1Работа\Robota\MINYUST\2021\12\84\RE36987_img_004.gif</vt:lpwstr>
      </vt:variant>
      <vt:variant>
        <vt:lpwstr/>
      </vt:variant>
      <vt:variant>
        <vt:i4>70124617</vt:i4>
      </vt:variant>
      <vt:variant>
        <vt:i4>9679</vt:i4>
      </vt:variant>
      <vt:variant>
        <vt:i4>1052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70124617</vt:i4>
      </vt:variant>
      <vt:variant>
        <vt:i4>9746</vt:i4>
      </vt:variant>
      <vt:variant>
        <vt:i4>1053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70059080</vt:i4>
      </vt:variant>
      <vt:variant>
        <vt:i4>10176</vt:i4>
      </vt:variant>
      <vt:variant>
        <vt:i4>1054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10308</vt:i4>
      </vt:variant>
      <vt:variant>
        <vt:i4>1056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10442</vt:i4>
      </vt:variant>
      <vt:variant>
        <vt:i4>1055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69796936</vt:i4>
      </vt:variant>
      <vt:variant>
        <vt:i4>10570</vt:i4>
      </vt:variant>
      <vt:variant>
        <vt:i4>1068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69796936</vt:i4>
      </vt:variant>
      <vt:variant>
        <vt:i4>10692</vt:i4>
      </vt:variant>
      <vt:variant>
        <vt:i4>1069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69928008</vt:i4>
      </vt:variant>
      <vt:variant>
        <vt:i4>10840</vt:i4>
      </vt:variant>
      <vt:variant>
        <vt:i4>1072</vt:i4>
      </vt:variant>
      <vt:variant>
        <vt:i4>1</vt:i4>
      </vt:variant>
      <vt:variant>
        <vt:lpwstr>C:\1Работа\Robota\MINYUST\2021\12\84\RE36987_img_001.gif</vt:lpwstr>
      </vt:variant>
      <vt:variant>
        <vt:lpwstr/>
      </vt:variant>
      <vt:variant>
        <vt:i4>70059080</vt:i4>
      </vt:variant>
      <vt:variant>
        <vt:i4>11018</vt:i4>
      </vt:variant>
      <vt:variant>
        <vt:i4>1058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11162</vt:i4>
      </vt:variant>
      <vt:variant>
        <vt:i4>1059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11326</vt:i4>
      </vt:variant>
      <vt:variant>
        <vt:i4>1060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11508</vt:i4>
      </vt:variant>
      <vt:variant>
        <vt:i4>1061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11648</vt:i4>
      </vt:variant>
      <vt:variant>
        <vt:i4>1057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69796936</vt:i4>
      </vt:variant>
      <vt:variant>
        <vt:i4>11776</vt:i4>
      </vt:variant>
      <vt:variant>
        <vt:i4>1070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69796936</vt:i4>
      </vt:variant>
      <vt:variant>
        <vt:i4>11898</vt:i4>
      </vt:variant>
      <vt:variant>
        <vt:i4>1071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69928008</vt:i4>
      </vt:variant>
      <vt:variant>
        <vt:i4>12046</vt:i4>
      </vt:variant>
      <vt:variant>
        <vt:i4>1073</vt:i4>
      </vt:variant>
      <vt:variant>
        <vt:i4>1</vt:i4>
      </vt:variant>
      <vt:variant>
        <vt:lpwstr>C:\1Работа\Robota\MINYUST\2021\12\84\RE36987_img_001.gif</vt:lpwstr>
      </vt:variant>
      <vt:variant>
        <vt:lpwstr/>
      </vt:variant>
      <vt:variant>
        <vt:i4>70059080</vt:i4>
      </vt:variant>
      <vt:variant>
        <vt:i4>12224</vt:i4>
      </vt:variant>
      <vt:variant>
        <vt:i4>1065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12368</vt:i4>
      </vt:variant>
      <vt:variant>
        <vt:i4>1064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12532</vt:i4>
      </vt:variant>
      <vt:variant>
        <vt:i4>1063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12714</vt:i4>
      </vt:variant>
      <vt:variant>
        <vt:i4>1062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14682</vt:i4>
      </vt:variant>
      <vt:variant>
        <vt:i4>1076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14848</vt:i4>
      </vt:variant>
      <vt:variant>
        <vt:i4>1078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15012</vt:i4>
      </vt:variant>
      <vt:variant>
        <vt:i4>1079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15174</vt:i4>
      </vt:variant>
      <vt:variant>
        <vt:i4>1077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15398</vt:i4>
      </vt:variant>
      <vt:variant>
        <vt:i4>1080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70059080</vt:i4>
      </vt:variant>
      <vt:variant>
        <vt:i4>15562</vt:i4>
      </vt:variant>
      <vt:variant>
        <vt:i4>1081</vt:i4>
      </vt:variant>
      <vt:variant>
        <vt:i4>1</vt:i4>
      </vt:variant>
      <vt:variant>
        <vt:lpwstr>C:\1Работа\Robota\MINYUST\2021\12\84\RE36987_img_007.gif</vt:lpwstr>
      </vt:variant>
      <vt:variant>
        <vt:lpwstr/>
      </vt:variant>
      <vt:variant>
        <vt:i4>70124617</vt:i4>
      </vt:variant>
      <vt:variant>
        <vt:i4>485166</vt:i4>
      </vt:variant>
      <vt:variant>
        <vt:i4>1087</vt:i4>
      </vt:variant>
      <vt:variant>
        <vt:i4>1</vt:i4>
      </vt:variant>
      <vt:variant>
        <vt:lpwstr>C:\1Работа\Robota\MINYUST\2021\12\84\RE36987_img_014.gif</vt:lpwstr>
      </vt:variant>
      <vt:variant>
        <vt:lpwstr/>
      </vt:variant>
      <vt:variant>
        <vt:i4>69796936</vt:i4>
      </vt:variant>
      <vt:variant>
        <vt:i4>485320</vt:i4>
      </vt:variant>
      <vt:variant>
        <vt:i4>1091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  <vt:variant>
        <vt:i4>69796936</vt:i4>
      </vt:variant>
      <vt:variant>
        <vt:i4>486408</vt:i4>
      </vt:variant>
      <vt:variant>
        <vt:i4>1088</vt:i4>
      </vt:variant>
      <vt:variant>
        <vt:i4>1</vt:i4>
      </vt:variant>
      <vt:variant>
        <vt:lpwstr>C:\1Работа\Robota\MINYUST\2021\12\84\RE36987_img_003.gif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2021-12-09T07:57:00Z</dcterms:created>
  <dcterms:modified xsi:type="dcterms:W3CDTF">2021-12-09T07:57:00Z</dcterms:modified>
</cp:coreProperties>
</file>