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B4" w:rsidRPr="0096366C" w:rsidRDefault="007063B4" w:rsidP="008B11C4">
      <w:pPr>
        <w:shd w:val="clear" w:color="auto" w:fill="FFFFFF"/>
        <w:spacing w:before="39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11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III)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Стандарт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297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×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210,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297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×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420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8"/>
        <w:gridCol w:w="1141"/>
        <w:gridCol w:w="2156"/>
      </w:tblGrid>
      <w:tr w:rsidR="007063B4" w:rsidRPr="0096366C" w:rsidTr="008B11C4">
        <w:trPr>
          <w:trHeight w:val="6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Кореспондентський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</w:tr>
      <w:tr w:rsidR="007063B4" w:rsidRPr="0096366C" w:rsidTr="008B11C4">
        <w:trPr>
          <w:trHeight w:val="60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8B11C4">
        <w:trPr>
          <w:trHeight w:val="60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8B11C4">
        <w:trPr>
          <w:trHeight w:val="60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063B4" w:rsidRPr="0096366C" w:rsidRDefault="007063B4" w:rsidP="008B11C4">
      <w:pPr>
        <w:shd w:val="clear" w:color="auto" w:fill="FFFFFF"/>
        <w:spacing w:before="170" w:after="0" w:line="193" w:lineRule="atLeast"/>
        <w:ind w:firstLine="3969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063B4" w:rsidRPr="0096366C" w:rsidRDefault="007063B4" w:rsidP="008B11C4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6366C">
        <w:rPr>
          <w:rFonts w:ascii="Times New Roman" w:hAnsi="Times New Roman"/>
          <w:color w:val="000000"/>
          <w:sz w:val="20"/>
          <w:szCs w:val="20"/>
          <w:lang w:eastAsia="uk-UA"/>
        </w:rPr>
        <w:t>(посада)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063B4" w:rsidRPr="0096366C" w:rsidRDefault="007063B4" w:rsidP="008B11C4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6366C">
        <w:rPr>
          <w:rFonts w:ascii="Times New Roman" w:hAnsi="Times New Roman"/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«_____»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7063B4" w:rsidRPr="0096366C" w:rsidRDefault="007063B4" w:rsidP="008B11C4">
      <w:pPr>
        <w:shd w:val="clear" w:color="auto" w:fill="FFFFFF"/>
        <w:spacing w:before="57"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7063B4" w:rsidRPr="0096366C" w:rsidRDefault="007063B4" w:rsidP="0096366C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___</w:t>
      </w:r>
      <w:r w:rsidRPr="0096366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7063B4" w:rsidRPr="0096366C" w:rsidRDefault="007063B4" w:rsidP="0096366C">
      <w:pPr>
        <w:shd w:val="clear" w:color="auto" w:fill="FFFFFF"/>
        <w:spacing w:before="17" w:after="24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6366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(найменування озброєння, техніки)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2221"/>
        <w:gridCol w:w="1168"/>
        <w:gridCol w:w="1756"/>
        <w:gridCol w:w="1511"/>
        <w:gridCol w:w="1684"/>
      </w:tblGrid>
      <w:tr w:rsidR="007063B4" w:rsidRPr="0096366C" w:rsidTr="0096366C">
        <w:trPr>
          <w:trHeight w:val="60"/>
        </w:trPr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96366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1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</w:t>
            </w:r>
          </w:p>
        </w:tc>
        <w:tc>
          <w:tcPr>
            <w:tcW w:w="8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8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</w:tr>
      <w:tr w:rsidR="007063B4" w:rsidRPr="0096366C" w:rsidTr="0096366C">
        <w:trPr>
          <w:trHeight w:val="60"/>
        </w:trPr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</w:tr>
      <w:tr w:rsidR="007063B4" w:rsidRPr="0096366C" w:rsidTr="0096366C">
        <w:trPr>
          <w:trHeight w:val="60"/>
        </w:trPr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6"/>
        <w:gridCol w:w="1661"/>
        <w:gridCol w:w="1360"/>
        <w:gridCol w:w="1209"/>
        <w:gridCol w:w="2417"/>
        <w:gridCol w:w="1626"/>
      </w:tblGrid>
      <w:tr w:rsidR="007063B4" w:rsidRPr="0096366C" w:rsidTr="0096366C">
        <w:trPr>
          <w:trHeight w:val="60"/>
        </w:trPr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Служба</w:t>
            </w:r>
          </w:p>
        </w:tc>
        <w:tc>
          <w:tcPr>
            <w:tcW w:w="11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(підрозділ)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</w:tr>
      <w:tr w:rsidR="007063B4" w:rsidRPr="0096366C" w:rsidTr="0096366C">
        <w:trPr>
          <w:trHeight w:val="60"/>
        </w:trPr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</w:tr>
      <w:tr w:rsidR="007063B4" w:rsidRPr="0096366C" w:rsidTr="0096366C">
        <w:trPr>
          <w:trHeight w:val="60"/>
        </w:trPr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3"/>
        <w:gridCol w:w="2113"/>
        <w:gridCol w:w="1692"/>
        <w:gridCol w:w="2109"/>
        <w:gridCol w:w="1509"/>
        <w:gridCol w:w="1203"/>
      </w:tblGrid>
      <w:tr w:rsidR="007063B4" w:rsidRPr="0096366C" w:rsidTr="0096366C">
        <w:trPr>
          <w:trHeight w:val="60"/>
        </w:trPr>
        <w:tc>
          <w:tcPr>
            <w:tcW w:w="18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Дебет</w:t>
            </w:r>
          </w:p>
        </w:tc>
        <w:tc>
          <w:tcPr>
            <w:tcW w:w="184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</w:t>
            </w:r>
          </w:p>
        </w:tc>
        <w:tc>
          <w:tcPr>
            <w:tcW w:w="7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</w:p>
        </w:tc>
      </w:tr>
      <w:tr w:rsidR="007063B4" w:rsidRPr="0096366C" w:rsidTr="0096366C">
        <w:trPr>
          <w:trHeight w:val="405"/>
        </w:trPr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субрахунок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аналітичного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субрахунок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аналітичного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</w:p>
        </w:tc>
        <w:tc>
          <w:tcPr>
            <w:tcW w:w="73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63B4" w:rsidRPr="0096366C" w:rsidTr="0096366C">
        <w:trPr>
          <w:trHeight w:val="60"/>
        </w:trPr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При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ознайомленні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документами,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огляді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(перевірці)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встановлено:</w:t>
      </w:r>
    </w:p>
    <w:p w:rsidR="007063B4" w:rsidRPr="0096366C" w:rsidRDefault="007063B4" w:rsidP="006D4EA6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якісний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2"/>
        <w:gridCol w:w="1542"/>
        <w:gridCol w:w="925"/>
        <w:gridCol w:w="772"/>
        <w:gridCol w:w="618"/>
        <w:gridCol w:w="926"/>
        <w:gridCol w:w="618"/>
        <w:gridCol w:w="926"/>
        <w:gridCol w:w="694"/>
        <w:gridCol w:w="772"/>
        <w:gridCol w:w="770"/>
        <w:gridCol w:w="1082"/>
        <w:gridCol w:w="35"/>
      </w:tblGrid>
      <w:tr w:rsidR="007063B4" w:rsidRPr="0096366C" w:rsidTr="0096366C">
        <w:trPr>
          <w:trHeight w:val="120"/>
        </w:trPr>
        <w:tc>
          <w:tcPr>
            <w:tcW w:w="2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озброєння,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(індекс,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креслення)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номенклатури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3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3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Завод-виробник</w:t>
            </w:r>
          </w:p>
        </w:tc>
        <w:tc>
          <w:tcPr>
            <w:tcW w:w="5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(формуляра)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96366C">
        <w:trPr>
          <w:trHeight w:val="276"/>
        </w:trPr>
        <w:tc>
          <w:tcPr>
            <w:tcW w:w="2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документами</w:t>
            </w: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788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D4EA6">
        <w:trPr>
          <w:cantSplit/>
          <w:trHeight w:val="1089"/>
        </w:trPr>
        <w:tc>
          <w:tcPr>
            <w:tcW w:w="2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(переоцінена)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</w:t>
            </w:r>
          </w:p>
        </w:tc>
        <w:tc>
          <w:tcPr>
            <w:tcW w:w="3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96366C">
        <w:trPr>
          <w:trHeight w:val="12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96366C">
        <w:trPr>
          <w:trHeight w:val="12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96366C">
        <w:trPr>
          <w:trHeight w:val="3416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5"/>
        <w:gridCol w:w="1780"/>
      </w:tblGrid>
      <w:tr w:rsidR="007063B4" w:rsidRPr="0096366C" w:rsidTr="006E08A8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6D4EA6">
            <w:pPr>
              <w:shd w:val="clear" w:color="auto" w:fill="FFFFFF"/>
              <w:spacing w:before="113" w:after="57" w:line="193" w:lineRule="atLeast"/>
              <w:ind w:firstLine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Техніко-експлуатаційні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показники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Введено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Знаходиться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Напрацьовано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</w:p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Встановлені:</w:t>
            </w:r>
          </w:p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гарантійне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напрацювання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(який,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Знаходиться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останнього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Напрацювання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останнього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недоробку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(переробку):</w:t>
            </w:r>
          </w:p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ресурсом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гарантійним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напрацюванням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придатності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6D4EA6" w:rsidRDefault="007063B4" w:rsidP="006D4EA6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6D4EA6">
        <w:rPr>
          <w:rFonts w:ascii="Times New Roman" w:hAnsi="Times New Roman"/>
          <w:color w:val="000000"/>
          <w:sz w:val="16"/>
          <w:szCs w:val="16"/>
          <w:lang w:eastAsia="uk-UA"/>
        </w:rPr>
        <w:lastRenderedPageBreak/>
        <w:t xml:space="preserve"> 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Комплектність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Причини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дострокового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зносу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пошкодження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Обсяг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доробок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(номери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бюлетенів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доробок)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Пропозиції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комісії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</w:p>
    <w:p w:rsidR="007063B4" w:rsidRPr="006D4EA6" w:rsidRDefault="007063B4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4EA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(посада, військове звання, підпис, Ім’я, ПРІЗВИЩЕ)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7063B4" w:rsidRPr="006D4EA6" w:rsidRDefault="007063B4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4EA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(посада, військове звання, підпис, Ім’я, ПРІЗВИЩЕ)</w:t>
      </w:r>
    </w:p>
    <w:p w:rsidR="007063B4" w:rsidRPr="0096366C" w:rsidRDefault="007063B4" w:rsidP="00C003AA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</w:t>
      </w:r>
    </w:p>
    <w:p w:rsidR="007063B4" w:rsidRPr="006D4EA6" w:rsidRDefault="007063B4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4EA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(посада, військове звання, підпис, Ім’я, ПРІЗВИЩЕ)</w:t>
      </w:r>
    </w:p>
    <w:p w:rsidR="007063B4" w:rsidRPr="0096366C" w:rsidRDefault="007063B4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примірниках: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__________________________;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__________________________;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__________________________;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VIII.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командира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частини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(старшого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начальника)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6D4EA6" w:rsidRDefault="007063B4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4EA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(посада, військове звання, підпис, Ім’я, ПРІЗВИЩЕ)</w:t>
      </w:r>
    </w:p>
    <w:p w:rsidR="007063B4" w:rsidRPr="0096366C" w:rsidRDefault="007063B4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7063B4" w:rsidRPr="0096366C" w:rsidRDefault="007063B4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7063B4" w:rsidRPr="0096366C" w:rsidRDefault="007063B4" w:rsidP="008B11C4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Пояснення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оформлення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(далі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призначений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оформлення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встановлених: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необхідності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ремонті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списанні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майна,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обліковуються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станом.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(корабля):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переведення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останню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(найнижчу)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категорію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набули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непридатного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установлених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термінів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3EEC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 w:rsidR="00783EEC" w:rsidRPr="00783E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83EEC" w:rsidRPr="00783EEC">
        <w:rPr>
          <w:rStyle w:val="st42"/>
          <w:rFonts w:ascii="Times New Roman" w:hAnsi="Times New Roman"/>
          <w:sz w:val="24"/>
          <w:szCs w:val="24"/>
        </w:rPr>
        <w:t>або що були розібрані (розділені) під час дії правового режиму воєнного стану з метою використання їх складових для відновлення, модернізації зразків озброєння, військової та спеціальної техніки або їх виготовлення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ресурсу,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випробувань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дослідних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неможливості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ремонту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цільовим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Усі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направляються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начальнику,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надане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право.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перший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другий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повертаються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частини;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втрачених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таких,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передчасно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стали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непридатними,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примірниках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затверджується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командиром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частини.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Перший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клопотанням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надсилається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старшому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начальнику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інспекторського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посвідчення.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командира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VIII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начальника,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затвердив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скріплюються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мастиковими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гербовими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печатками.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графі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першому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базовий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(техніки,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обладнання),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наступних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рядках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комплектуючі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обліковуються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(двигуни,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агрегати,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знаряддя,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пускові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установки,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кулемети,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радіоелектронні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приймально-передавальні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пристрої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тощо),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документація</w:t>
      </w:r>
      <w:r w:rsidR="00783EEC" w:rsidRPr="00783E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r w:rsidR="00783EEC" w:rsidRPr="00783EEC">
        <w:rPr>
          <w:rStyle w:val="st42"/>
          <w:rFonts w:ascii="Times New Roman" w:hAnsi="Times New Roman"/>
          <w:sz w:val="24"/>
          <w:szCs w:val="24"/>
        </w:rPr>
        <w:t>графи 8, 9 не заповнюються, якщо комплектуючі вироби не перебувають на окремому обліку</w:t>
      </w:r>
      <w:bookmarkStart w:id="0" w:name="_GoBack"/>
      <w:bookmarkEnd w:id="0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комплексних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графи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11,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заповнюються,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подальшого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комплектуючих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цих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зразків.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комплексного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входять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обліковані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заводських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номерів),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але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пропозицією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підлягають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поставленню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окремий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вносяться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відповідними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кількості,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категорії,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вартості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III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деталі,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агрегати,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предмети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ЗІП,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вистачає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(картка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некомплектності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документація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пальне,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передаються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технікою.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Тут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покришок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коліс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відсоток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зносу.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IV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виходу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ладу;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зовнішнього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огляду,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запуску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двигуна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випробовування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пробігом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(робочим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режимом).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дострокового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зносу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пошкодження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проведене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розслідування.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базовий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зразок,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змонтоване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окремий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визначаються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категорія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необхідного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ремонту.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цьому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додатковий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направляється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начальнику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обліковується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базовий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зразок.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майні,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списується,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дорогоцінних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металів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каміння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приладів,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вузлів,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агрегатів,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вони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входять,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зазначенням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дорогоцінних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металів,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каміння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кількості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кожному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виробі.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графі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зазначається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первісна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(переоцінена)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вартість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майна.</w:t>
      </w:r>
    </w:p>
    <w:p w:rsidR="007063B4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оформлюється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двох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більше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аркушах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великої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кількості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одному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аркуші,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комплектність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розписується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немає.</w:t>
      </w:r>
    </w:p>
    <w:p w:rsidR="00783EEC" w:rsidRDefault="00783EEC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83EEC" w:rsidRDefault="00783EEC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83EEC" w:rsidRDefault="00783EEC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83EEC" w:rsidRPr="00783EEC" w:rsidRDefault="00783EEC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83EEC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11 із змінами, внесеними згідно з Наказом Міністерства оборони </w:t>
      </w:r>
      <w:r w:rsidRPr="00783EEC">
        <w:rPr>
          <w:rStyle w:val="st131"/>
          <w:rFonts w:ascii="Times New Roman" w:hAnsi="Times New Roman"/>
          <w:b/>
          <w:color w:val="auto"/>
          <w:sz w:val="24"/>
          <w:szCs w:val="24"/>
        </w:rPr>
        <w:t>№ 571 від 29.09.2023</w:t>
      </w:r>
      <w:r w:rsidRPr="00783EEC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783EEC" w:rsidRPr="00783EEC" w:rsidSect="009636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1C4"/>
    <w:rsid w:val="00262541"/>
    <w:rsid w:val="002C5AB0"/>
    <w:rsid w:val="005B4B8E"/>
    <w:rsid w:val="006D4EA6"/>
    <w:rsid w:val="006E08A8"/>
    <w:rsid w:val="007063B4"/>
    <w:rsid w:val="00783EEC"/>
    <w:rsid w:val="008B11C4"/>
    <w:rsid w:val="0096366C"/>
    <w:rsid w:val="00C003AA"/>
    <w:rsid w:val="00D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0CEEF"/>
  <w15:docId w15:val="{053FF0A7-248E-4512-A5BE-51F0ABA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3D7386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link w:val="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uiPriority w:val="99"/>
    <w:semiHidden/>
    <w:rsid w:val="008B11C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8B11C4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7">
    <w:name w:val="a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uiPriority w:val="99"/>
    <w:rsid w:val="008B11C4"/>
    <w:rPr>
      <w:rFonts w:cs="Times New Roman"/>
    </w:rPr>
  </w:style>
  <w:style w:type="paragraph" w:customStyle="1" w:styleId="afffa">
    <w:name w:val="afffa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a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uiPriority w:val="99"/>
    <w:semiHidden/>
    <w:rsid w:val="003D7386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link w:val="z-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uiPriority w:val="99"/>
    <w:semiHidden/>
    <w:rsid w:val="003D7386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link w:val="z-1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783EEC"/>
    <w:rPr>
      <w:i/>
      <w:iCs/>
      <w:color w:val="0000FF"/>
    </w:rPr>
  </w:style>
  <w:style w:type="character" w:customStyle="1" w:styleId="st46">
    <w:name w:val="st46"/>
    <w:uiPriority w:val="99"/>
    <w:rsid w:val="00783EEC"/>
    <w:rPr>
      <w:i/>
      <w:iCs/>
      <w:color w:val="000000"/>
    </w:rPr>
  </w:style>
  <w:style w:type="character" w:customStyle="1" w:styleId="st42">
    <w:name w:val="st42"/>
    <w:uiPriority w:val="99"/>
    <w:rsid w:val="00783E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7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7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6357</Words>
  <Characters>3624</Characters>
  <Application>Microsoft Office Word</Application>
  <DocSecurity>0</DocSecurity>
  <Lines>30</Lines>
  <Paragraphs>19</Paragraphs>
  <ScaleCrop>false</ScaleCrop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4</cp:revision>
  <dcterms:created xsi:type="dcterms:W3CDTF">2021-06-29T13:24:00Z</dcterms:created>
  <dcterms:modified xsi:type="dcterms:W3CDTF">2023-10-29T09:46:00Z</dcterms:modified>
</cp:coreProperties>
</file>