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1D" w:rsidRPr="00E76E11" w:rsidRDefault="0079631D" w:rsidP="00E76E11">
      <w:pPr>
        <w:shd w:val="clear" w:color="auto" w:fill="FFFFFF"/>
        <w:spacing w:before="567" w:after="0" w:line="182" w:lineRule="atLeast"/>
        <w:ind w:left="450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6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Інструкції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впровадження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br/>
        <w:t>гігієни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закладах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охорони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здоров’я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br/>
        <w:t>та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установах/закладах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соціальних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послуг/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br/>
        <w:t>соціального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захисту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населення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br/>
        <w:t>(підпункт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3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пункту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ІІ,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пункт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6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ІІІ,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br/>
        <w:t>пункт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11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V,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підпункт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пункту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6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VІІ,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підпункт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7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пункту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10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розділу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VІІ,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підпункт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6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пункту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13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br/>
        <w:t>розділу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VІІ,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підпункт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пункту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14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VІІ,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br/>
        <w:t>підпункт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3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пункту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17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VII)</w:t>
      </w:r>
    </w:p>
    <w:p w:rsidR="0079631D" w:rsidRPr="00E76E11" w:rsidRDefault="0079631D" w:rsidP="00E76E11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ПРОТОКОЛ</w:t>
      </w: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="00D7600D"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оцінки</w:t>
      </w:r>
      <w:r w:rsidR="00D7600D"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використання</w:t>
      </w:r>
      <w:r w:rsidR="00D7600D"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засобів</w:t>
      </w:r>
      <w:r w:rsidR="00D7600D"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рук</w:t>
      </w:r>
      <w:r w:rsidR="00D7600D"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</w:t>
      </w:r>
      <w:r w:rsidR="00D7600D"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ЗОЗ/ЗСЗ</w:t>
      </w:r>
    </w:p>
    <w:p w:rsidR="0079631D" w:rsidRPr="00E76E11" w:rsidRDefault="0079631D" w:rsidP="0079631D">
      <w:pPr>
        <w:shd w:val="clear" w:color="auto" w:fill="FFFFFF"/>
        <w:spacing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І.</w:t>
      </w:r>
      <w:r w:rsidR="00D7600D"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Вступна</w:t>
      </w:r>
      <w:r w:rsidR="00D7600D"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частина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1.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цього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Протоколу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здійснюється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оцінка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використання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засобів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(рідкого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мила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антисептику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рук)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метою: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1)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визначення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використання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засобів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етапі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базової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оцінки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(крок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2)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плану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дій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перший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рік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впровадження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рук;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2)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опосередкованого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методу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контролю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рук;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3)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моніторингу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використання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засобів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рук;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4)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визначення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потреби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планування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закупівлі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засобів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контролю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рівня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їх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запасів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короткостроковій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довгостроковій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перспективах.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2.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Оцінка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цього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Протоколу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проводиться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вперше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базової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оцінки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подальшому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один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раз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місяць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протягом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першого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впровадження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заходів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починаючи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другого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впровадження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67DE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кожні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3–4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місяці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необхідності.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Графік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оцінок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може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коригуватися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відповідності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графіку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закупок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поставок.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3.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Оцінку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цього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Протоколу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проводить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координатор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уповноваже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ний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працівник,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який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працює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підрозділі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(ординатор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або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старша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сестра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медична)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після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проходження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інструктажу.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4.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Виконання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цього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Протоколу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передбачає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заповнення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форми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оцінки,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яка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містить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чотири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пункти.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збору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даних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можуть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використовуватись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форми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замовлення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або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поставки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відповідного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засобу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рук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згідно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із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практикою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ЗОЗ/ЗСЗ,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які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отримані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тендерному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комітеті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(підрозділі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закупівель)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або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уповноваженої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особи.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Альтернативно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дані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можуть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бути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отримані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пра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цівника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ЗОЗ/ЗСЗ/підрозділу,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який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відповідальний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розподіл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засобів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рук.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5.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Заповнення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Таблиць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у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пунктах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3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та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4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Форми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проведення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оцінки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використання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засобів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здійснюється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врахуванням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наступного: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1)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таблиці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використовуються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заповнення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даних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щомісячно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протягом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шести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місяців.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Якщо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дані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один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місяців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недоступні,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вводяться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сумарні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дані,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відповідають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більш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тривалим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періодам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(наприклад,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два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три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місяці);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2)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кожні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шість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місяців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заповнюється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нова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таблиця;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3)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розрахунку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використання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засобів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проведеному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даних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закупівельних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видаткових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форм,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враховується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кількість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засобів,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залишаються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складі.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правильного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визначення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використаних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засобів,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отриманої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підрахунках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суми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віднімаються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залишки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перевіряється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відповідність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суми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використаних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засобів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їх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залишків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сумі,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яка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вказана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закупівельних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видаткових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формах;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4)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використанні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різних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засобів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(наприклад,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антисептики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різним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складом)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необхідно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заповнювати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пункт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3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окремо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кожного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них.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випадках,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коли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один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той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же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засіб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постачався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різних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об’ємах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(наприклад,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початку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фасувався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100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мл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кишеньковій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пляшечці,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потім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67DE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125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мл),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Протокол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заповнюється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вказанням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кількості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засобу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літрах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враховується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тара,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якій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він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постачався;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5)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у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таблицях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враховуються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будь-які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зміни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кількості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ліжок,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працівників,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пацієнтів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або</w:t>
      </w:r>
      <w:r w:rsidR="00D7600D"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ліжкоднів.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залучення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використання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засобів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нової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палати,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капітального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ремонту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перепрофілюванням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відкриття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відділення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67DE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проводиться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базова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оцінка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подальший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моніторинг.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lastRenderedPageBreak/>
        <w:t>6.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кінці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шестимісячного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періоду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використання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засобу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необхідно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сформувати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звіти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кожному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підрозділу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і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ЗОЗ/ЗСЗ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цілому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та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направити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всім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зацікавленим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сторонам.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Результати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оцінки,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про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веденої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відповідно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цього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Протоколу,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використовуються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ВІК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координатором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оцінки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впливу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плану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дій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покращення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рук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цілому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та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направляються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структурний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підрозділ,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який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проводить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закупівлі,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іншим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зацікавленим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сторонам.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Тенденція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підвищення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використання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засобів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може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свідчити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успіх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програми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рук.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Статистично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сталі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результати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або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тенденції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до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зниження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використання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засобів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рук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підлягають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аналізу</w:t>
      </w:r>
      <w:r w:rsidR="00D7600D" w:rsidRPr="00E76E11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коригування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плану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дій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метою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покращення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результатів.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7.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Результати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оцінки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використовуються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також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оцінки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ефективності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роботи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ВІК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координатора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рук.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8.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Короткий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словник: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відділ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централізованих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закупок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67DE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структурний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підрозділ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ЗОЗ/ЗСЗ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окрема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структурна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одиниця,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збирає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потребу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здійснює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закупки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ЗОЗ/ЗСЗ;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антисептик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67DE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спиртовмісний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дезінфекційний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засіб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(рідина,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гель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піна),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застосовується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нанесення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шкіру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метою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знищення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мікроорганізмів;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палата/бокс/кімната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667DE0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найменша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частина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ЗОЗ/ЗСЗ,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використовується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надання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допомоги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окремому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пацієнту,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групі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категорії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пацієнтів.</w:t>
      </w:r>
    </w:p>
    <w:p w:rsidR="0079631D" w:rsidRPr="00E76E11" w:rsidRDefault="0079631D" w:rsidP="0079631D">
      <w:pPr>
        <w:shd w:val="clear" w:color="auto" w:fill="FFFFFF"/>
        <w:spacing w:before="113"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ІІ.</w:t>
      </w:r>
      <w:r w:rsidR="00D7600D"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Форма</w:t>
      </w:r>
      <w:r w:rsidR="00D7600D"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проведення</w:t>
      </w:r>
      <w:r w:rsidR="00D7600D"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оцінки</w:t>
      </w:r>
      <w:r w:rsidR="00D7600D"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використання</w:t>
      </w:r>
      <w:r w:rsidR="00D7600D"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засобів</w:t>
      </w:r>
      <w:r w:rsidR="00D7600D"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рук</w:t>
      </w:r>
      <w:r w:rsidR="00D7600D"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</w:t>
      </w:r>
      <w:r w:rsidR="00D7600D"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ЗОЗ/ЗСЗ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1.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Загальна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інформація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організації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процесу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закупівлі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засобів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ЗОЗ/ЗСЗ: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1)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чи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наявний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відділ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централізованих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закупок?</w:t>
      </w:r>
    </w:p>
    <w:p w:rsidR="0079631D" w:rsidRPr="00E76E11" w:rsidRDefault="003111A6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67DE0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" name="Рисунок 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так</w:t>
      </w:r>
    </w:p>
    <w:p w:rsidR="0079631D" w:rsidRPr="00E76E11" w:rsidRDefault="003111A6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67DE0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2" name="Рисунок 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DE0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ні</w:t>
      </w:r>
    </w:p>
    <w:p w:rsidR="0079631D" w:rsidRPr="00E76E11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2)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як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часто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збирається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потреба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засобах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рук?</w:t>
      </w:r>
    </w:p>
    <w:p w:rsidR="0079631D" w:rsidRPr="00E76E11" w:rsidRDefault="003111A6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67DE0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3" name="Рисунок 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DE0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щомісяця</w:t>
      </w:r>
    </w:p>
    <w:p w:rsidR="0079631D" w:rsidRPr="00E76E11" w:rsidRDefault="003111A6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67DE0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4" name="Рисунок 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DE0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щоквартально</w:t>
      </w:r>
    </w:p>
    <w:p w:rsidR="0079631D" w:rsidRPr="00E76E11" w:rsidRDefault="003111A6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67DE0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5" name="Рисунок 5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DE0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кожні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півроку</w:t>
      </w:r>
    </w:p>
    <w:p w:rsidR="0079631D" w:rsidRPr="00E76E11" w:rsidRDefault="003111A6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67DE0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6" name="Рисунок 6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DE0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нерегулярно</w:t>
      </w:r>
    </w:p>
    <w:p w:rsidR="0079631D" w:rsidRPr="00E76E11" w:rsidRDefault="003111A6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67DE0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7" name="Рисунок 7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DE0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інше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(вписати):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="00667DE0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</w:t>
      </w:r>
    </w:p>
    <w:p w:rsidR="0079631D" w:rsidRPr="00E76E11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3)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опис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процесу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замовлення,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закупки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розподілу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засобу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ЗОЗ/ЗСЗ/підрозділі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обов’язковим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зазначенням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часового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інтервалу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між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замовленням,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поставкою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початком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розподілу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працівниками,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які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відповідальні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кожну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задачу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процесі:</w:t>
      </w:r>
    </w:p>
    <w:p w:rsidR="0079631D" w:rsidRPr="00E76E11" w:rsidRDefault="0079631D" w:rsidP="0079631D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 w:rsidR="00667DE0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79631D" w:rsidRPr="00E76E11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2.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Інформація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місця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оцінки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використання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засобів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рук:</w:t>
      </w:r>
    </w:p>
    <w:p w:rsidR="0079631D" w:rsidRPr="00E76E11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1)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назва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структурного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підрозділу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ЗОЗ/ЗСЗ: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</w:t>
      </w:r>
      <w:r w:rsidR="00177A69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</w:p>
    <w:p w:rsidR="0079631D" w:rsidRPr="00E76E11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2)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П.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І.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Б.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координатора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гігієни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рук: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 w:rsidR="00667DE0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  <w:r w:rsidR="00177A69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79631D" w:rsidRPr="00E76E11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3)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період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(вказати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чіткий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шестимісячний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інтервал):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="00667DE0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  <w:r w:rsidR="00177A69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79631D" w:rsidRPr="00E76E11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4)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вкажіть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які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та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якій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кількості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палати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ньому/ній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наявні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із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зазначенням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короткого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опису</w:t>
      </w:r>
      <w:r w:rsidR="00D7600D"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(наприк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лад,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розташування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раковин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дозаторів,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їхню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кількість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тощо):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667DE0" w:rsidRPr="00E76E11" w:rsidRDefault="00667DE0" w:rsidP="00667DE0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79631D" w:rsidRPr="00E76E11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3.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Антисептик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рук: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1)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тип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продукту:</w:t>
      </w:r>
    </w:p>
    <w:p w:rsidR="0079631D" w:rsidRPr="00E76E11" w:rsidRDefault="003111A6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67DE0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8" name="Рисунок 8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гель</w:t>
      </w:r>
    </w:p>
    <w:p w:rsidR="0079631D" w:rsidRPr="00E76E11" w:rsidRDefault="003111A6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67DE0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9" name="Рисунок 9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DE0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рідина</w:t>
      </w:r>
    </w:p>
    <w:p w:rsidR="0079631D" w:rsidRPr="00E76E11" w:rsidRDefault="003111A6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67DE0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0" name="Рисунок 10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DE0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піна</w:t>
      </w:r>
    </w:p>
    <w:p w:rsidR="0079631D" w:rsidRPr="00E76E11" w:rsidRDefault="003111A6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67DE0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1" name="Рисунок 11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DE0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інше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(вписати):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</w:t>
      </w:r>
    </w:p>
    <w:p w:rsidR="00177A69" w:rsidRDefault="00D7600D" w:rsidP="0079631D">
      <w:pPr>
        <w:shd w:val="clear" w:color="auto" w:fill="FFFFFF"/>
        <w:spacing w:before="100" w:after="225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  <w:sectPr w:rsidR="00177A69" w:rsidSect="00E76E1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bookmarkStart w:id="0" w:name="_GoBack"/>
      <w:bookmarkEnd w:id="0"/>
    </w:p>
    <w:p w:rsidR="0079631D" w:rsidRPr="00E76E11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2)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назва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склад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продукту: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7"/>
        <w:gridCol w:w="1153"/>
        <w:gridCol w:w="1153"/>
        <w:gridCol w:w="1153"/>
        <w:gridCol w:w="1153"/>
        <w:gridCol w:w="1153"/>
        <w:gridCol w:w="1153"/>
        <w:gridCol w:w="1464"/>
        <w:gridCol w:w="1464"/>
        <w:gridCol w:w="1464"/>
        <w:gridCol w:w="2153"/>
        <w:gridCol w:w="991"/>
      </w:tblGrid>
      <w:tr w:rsidR="0079631D" w:rsidRPr="00177A69" w:rsidTr="00177A69">
        <w:trPr>
          <w:trHeight w:val="113"/>
        </w:trPr>
        <w:tc>
          <w:tcPr>
            <w:tcW w:w="2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vAlign w:val="center"/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5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закупленого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продукту</w:t>
            </w:r>
          </w:p>
        </w:tc>
        <w:tc>
          <w:tcPr>
            <w:tcW w:w="75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розподіленого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продукту</w:t>
            </w:r>
          </w:p>
        </w:tc>
        <w:tc>
          <w:tcPr>
            <w:tcW w:w="75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використаного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продукту</w:t>
            </w:r>
          </w:p>
        </w:tc>
        <w:tc>
          <w:tcPr>
            <w:tcW w:w="48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ліжок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ЗОЗ/ЗСЗ/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підрозділі/службі</w:t>
            </w:r>
          </w:p>
        </w:tc>
        <w:tc>
          <w:tcPr>
            <w:tcW w:w="48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працівників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ЗОЗ/ЗСЗ/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підрозділі/службі</w:t>
            </w:r>
          </w:p>
        </w:tc>
        <w:tc>
          <w:tcPr>
            <w:tcW w:w="48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медичних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працівників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ЗОЗ/ЗСЗ/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підрозділі/службі</w:t>
            </w:r>
          </w:p>
        </w:tc>
        <w:tc>
          <w:tcPr>
            <w:tcW w:w="70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пацієнтів,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які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поступили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ЗОЗ/ЗСЗ/підрозділ/службу</w:t>
            </w:r>
          </w:p>
        </w:tc>
        <w:tc>
          <w:tcPr>
            <w:tcW w:w="32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ліжкоднів,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що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проведені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пацієнтами</w:t>
            </w:r>
          </w:p>
        </w:tc>
      </w:tr>
      <w:tr w:rsidR="0079631D" w:rsidRPr="00177A69" w:rsidTr="00177A69">
        <w:trPr>
          <w:trHeight w:val="113"/>
        </w:trPr>
        <w:tc>
          <w:tcPr>
            <w:tcW w:w="2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177A69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Використано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одиницях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(наприклад,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одноразових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кишенькових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диспенсерів)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Використано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літрах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Використано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одиницях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(наприклад,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одноразових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кишенькових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диспенсерів)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Використано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літрах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Використано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одиницях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(наприклад,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одноразових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кишенькових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диспенсерів)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57" w:type="dxa"/>
              <w:bottom w:w="85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Використано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літрах</w:t>
            </w:r>
          </w:p>
        </w:tc>
        <w:tc>
          <w:tcPr>
            <w:tcW w:w="48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177A69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48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177A69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48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177A69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70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177A69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32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177A69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</w:tr>
      <w:tr w:rsidR="0079631D" w:rsidRPr="00177A69" w:rsidTr="00177A69">
        <w:trPr>
          <w:trHeight w:val="113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Місяць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(зазначити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дати):</w:t>
            </w:r>
          </w:p>
        </w:tc>
      </w:tr>
      <w:tr w:rsidR="0079631D" w:rsidRPr="00177A69" w:rsidTr="00177A69">
        <w:trPr>
          <w:trHeight w:val="113"/>
        </w:trPr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Загальна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9631D" w:rsidRPr="00177A69" w:rsidTr="00177A69">
        <w:trPr>
          <w:trHeight w:val="113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Місяць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2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(зазначити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дати):</w:t>
            </w:r>
          </w:p>
        </w:tc>
      </w:tr>
      <w:tr w:rsidR="0079631D" w:rsidRPr="00177A69" w:rsidTr="00177A69">
        <w:trPr>
          <w:trHeight w:val="113"/>
        </w:trPr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Загальна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9631D" w:rsidRPr="00177A69" w:rsidTr="00177A69">
        <w:trPr>
          <w:trHeight w:val="113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Місяць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3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(зазначити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дати):</w:t>
            </w:r>
          </w:p>
        </w:tc>
      </w:tr>
      <w:tr w:rsidR="0079631D" w:rsidRPr="00177A69" w:rsidTr="00177A69">
        <w:trPr>
          <w:trHeight w:val="113"/>
        </w:trPr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Загальна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9631D" w:rsidRPr="00177A69" w:rsidTr="00177A69">
        <w:trPr>
          <w:trHeight w:val="113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Місяць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4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(зазначити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дати):</w:t>
            </w:r>
          </w:p>
        </w:tc>
      </w:tr>
      <w:tr w:rsidR="0079631D" w:rsidRPr="00177A69" w:rsidTr="00177A69">
        <w:trPr>
          <w:trHeight w:val="113"/>
        </w:trPr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Загальна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9631D" w:rsidRPr="00177A69" w:rsidTr="00177A69">
        <w:trPr>
          <w:trHeight w:val="113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Місяць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5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(зазначити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дати):</w:t>
            </w:r>
          </w:p>
        </w:tc>
      </w:tr>
      <w:tr w:rsidR="0079631D" w:rsidRPr="00177A69" w:rsidTr="00177A69">
        <w:trPr>
          <w:trHeight w:val="113"/>
        </w:trPr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Загальна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9631D" w:rsidRPr="00177A69" w:rsidTr="00177A69">
        <w:trPr>
          <w:trHeight w:val="113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Місяць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6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(зазначити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дати):</w:t>
            </w:r>
          </w:p>
        </w:tc>
      </w:tr>
      <w:tr w:rsidR="0079631D" w:rsidRPr="00177A69" w:rsidTr="00177A69">
        <w:trPr>
          <w:trHeight w:val="113"/>
        </w:trPr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Загальна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:rsidR="0079631D" w:rsidRPr="00E76E11" w:rsidRDefault="00D7600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4.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Мило:</w:t>
      </w:r>
    </w:p>
    <w:p w:rsidR="0079631D" w:rsidRPr="00E76E11" w:rsidRDefault="0079631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1)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тип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продукту:</w:t>
      </w:r>
    </w:p>
    <w:p w:rsidR="0079631D" w:rsidRPr="00E76E11" w:rsidRDefault="003111A6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67DE0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2" name="Рисунок 12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A69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рідке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мило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звичайне</w:t>
      </w:r>
    </w:p>
    <w:p w:rsidR="0079631D" w:rsidRPr="00E76E11" w:rsidRDefault="003111A6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67DE0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3" name="Рисунок 13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A69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рідке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мило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антибактеріальне</w:t>
      </w:r>
    </w:p>
    <w:p w:rsidR="0079631D" w:rsidRPr="00E76E11" w:rsidRDefault="003111A6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67DE0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14300" cy="114300"/>
            <wp:effectExtent l="0" t="0" r="0" b="0"/>
            <wp:docPr id="14" name="Рисунок 14" descr="квадрат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вадрат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A69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інше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79631D" w:rsidRPr="00E76E11">
        <w:rPr>
          <w:rFonts w:ascii="Times New Roman" w:hAnsi="Times New Roman"/>
          <w:color w:val="000000"/>
          <w:sz w:val="24"/>
          <w:szCs w:val="24"/>
          <w:lang w:eastAsia="uk-UA"/>
        </w:rPr>
        <w:t>(вписати):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</w:t>
      </w:r>
    </w:p>
    <w:p w:rsidR="00177A69" w:rsidRDefault="00177A69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79631D" w:rsidRPr="00E76E11" w:rsidRDefault="0079631D" w:rsidP="0079631D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2)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назва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склад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>продукту:</w:t>
      </w:r>
      <w:r w:rsidR="00D7600D"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4"/>
        <w:gridCol w:w="1342"/>
        <w:gridCol w:w="1147"/>
        <w:gridCol w:w="1342"/>
        <w:gridCol w:w="1147"/>
        <w:gridCol w:w="1342"/>
        <w:gridCol w:w="1147"/>
        <w:gridCol w:w="1394"/>
        <w:gridCol w:w="1394"/>
        <w:gridCol w:w="2074"/>
        <w:gridCol w:w="1037"/>
        <w:gridCol w:w="1031"/>
      </w:tblGrid>
      <w:tr w:rsidR="0079631D" w:rsidRPr="00177A69" w:rsidTr="00177A69">
        <w:trPr>
          <w:trHeight w:val="226"/>
        </w:trPr>
        <w:tc>
          <w:tcPr>
            <w:tcW w:w="28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81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закупленого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продукту</w:t>
            </w:r>
          </w:p>
        </w:tc>
        <w:tc>
          <w:tcPr>
            <w:tcW w:w="81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розподіленого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продукту</w:t>
            </w:r>
          </w:p>
        </w:tc>
        <w:tc>
          <w:tcPr>
            <w:tcW w:w="81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використаного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продукту</w:t>
            </w:r>
          </w:p>
        </w:tc>
        <w:tc>
          <w:tcPr>
            <w:tcW w:w="45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ліжок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ЗОЗ/ЗСЗ/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підрозділі/службі</w:t>
            </w:r>
          </w:p>
        </w:tc>
        <w:tc>
          <w:tcPr>
            <w:tcW w:w="45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працівників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ЗОЗ/ЗСЗ/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підрозділі/службі</w:t>
            </w:r>
          </w:p>
        </w:tc>
        <w:tc>
          <w:tcPr>
            <w:tcW w:w="68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медичних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працівників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ЗОЗ/ЗСЗ/підрозділі/службі</w:t>
            </w:r>
          </w:p>
        </w:tc>
        <w:tc>
          <w:tcPr>
            <w:tcW w:w="34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пацієнтів,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які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поступили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ЗОЗ/ЗСЗ/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підрозділ/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службу</w:t>
            </w:r>
          </w:p>
        </w:tc>
        <w:tc>
          <w:tcPr>
            <w:tcW w:w="33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ліжкоднів,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що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проведені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пацієнтами</w:t>
            </w:r>
          </w:p>
        </w:tc>
      </w:tr>
      <w:tr w:rsidR="0079631D" w:rsidRPr="00177A69" w:rsidTr="00177A69">
        <w:trPr>
          <w:trHeight w:val="453"/>
        </w:trPr>
        <w:tc>
          <w:tcPr>
            <w:tcW w:w="2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177A69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Використано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одиницях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(наприклад,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каністр)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Використано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літрах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Використано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одиницях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(наприклад,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каністр)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Використано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літрах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Використано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одиницях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(наприклад,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каністр)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9631D" w:rsidRPr="00177A69" w:rsidRDefault="0079631D" w:rsidP="0079631D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Використано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літрах</w:t>
            </w:r>
          </w:p>
        </w:tc>
        <w:tc>
          <w:tcPr>
            <w:tcW w:w="45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177A69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45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177A69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68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177A69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3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177A69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33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177A69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</w:tr>
      <w:tr w:rsidR="0079631D" w:rsidRPr="00177A69" w:rsidTr="00177A69">
        <w:trPr>
          <w:trHeight w:val="262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Місяць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(зазначити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дати):</w:t>
            </w:r>
          </w:p>
        </w:tc>
      </w:tr>
      <w:tr w:rsidR="0079631D" w:rsidRPr="00177A69" w:rsidTr="00177A69">
        <w:trPr>
          <w:trHeight w:val="60"/>
        </w:trPr>
        <w:tc>
          <w:tcPr>
            <w:tcW w:w="2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Загальна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9631D" w:rsidRPr="00177A69" w:rsidTr="00177A69">
        <w:trPr>
          <w:trHeight w:val="256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Місяць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2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(зазначити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дати):</w:t>
            </w:r>
          </w:p>
        </w:tc>
      </w:tr>
      <w:tr w:rsidR="0079631D" w:rsidRPr="00177A69" w:rsidTr="00177A69">
        <w:trPr>
          <w:trHeight w:val="60"/>
        </w:trPr>
        <w:tc>
          <w:tcPr>
            <w:tcW w:w="2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Загальна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9631D" w:rsidRPr="00177A69" w:rsidTr="00177A69">
        <w:trPr>
          <w:trHeight w:val="320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Місяць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3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(зазначити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дати):</w:t>
            </w:r>
          </w:p>
        </w:tc>
      </w:tr>
      <w:tr w:rsidR="0079631D" w:rsidRPr="00177A69" w:rsidTr="00177A69">
        <w:trPr>
          <w:trHeight w:val="60"/>
        </w:trPr>
        <w:tc>
          <w:tcPr>
            <w:tcW w:w="2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Загальна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9631D" w:rsidRPr="00177A69" w:rsidTr="00177A69">
        <w:trPr>
          <w:trHeight w:val="288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Місяць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4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(зазначити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дати):</w:t>
            </w:r>
          </w:p>
        </w:tc>
      </w:tr>
      <w:tr w:rsidR="0079631D" w:rsidRPr="00177A69" w:rsidTr="00177A69">
        <w:trPr>
          <w:trHeight w:val="60"/>
        </w:trPr>
        <w:tc>
          <w:tcPr>
            <w:tcW w:w="2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Загальна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9631D" w:rsidRPr="00177A69" w:rsidTr="00177A69">
        <w:trPr>
          <w:trHeight w:val="253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Місяць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5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(зазначити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дати):</w:t>
            </w:r>
          </w:p>
        </w:tc>
      </w:tr>
      <w:tr w:rsidR="0079631D" w:rsidRPr="00177A69" w:rsidTr="00177A69">
        <w:trPr>
          <w:trHeight w:val="60"/>
        </w:trPr>
        <w:tc>
          <w:tcPr>
            <w:tcW w:w="2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Загальна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9631D" w:rsidRPr="00177A69" w:rsidTr="00177A69">
        <w:trPr>
          <w:trHeight w:val="249"/>
        </w:trPr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Місяць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6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(зазначити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дати):</w:t>
            </w:r>
          </w:p>
        </w:tc>
      </w:tr>
      <w:tr w:rsidR="0079631D" w:rsidRPr="00177A69" w:rsidTr="00177A69">
        <w:trPr>
          <w:trHeight w:val="412"/>
        </w:trPr>
        <w:tc>
          <w:tcPr>
            <w:tcW w:w="2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Загальна</w:t>
            </w:r>
            <w:r w:rsidR="00D7600D"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177A69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177A69" w:rsidRDefault="00D7600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177A69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:rsidR="0079631D" w:rsidRPr="00E76E11" w:rsidRDefault="00D7600D" w:rsidP="0079631D">
      <w:pPr>
        <w:shd w:val="clear" w:color="auto" w:fill="FFFFFF"/>
        <w:spacing w:before="100" w:after="225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76E1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sectPr w:rsidR="0079631D" w:rsidRPr="00E76E11" w:rsidSect="00177A6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6ABF"/>
    <w:multiLevelType w:val="multilevel"/>
    <w:tmpl w:val="C218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D0403"/>
    <w:multiLevelType w:val="multilevel"/>
    <w:tmpl w:val="4ED0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213C3"/>
    <w:multiLevelType w:val="multilevel"/>
    <w:tmpl w:val="8FBC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1D"/>
    <w:rsid w:val="00170A3E"/>
    <w:rsid w:val="00177A69"/>
    <w:rsid w:val="003111A6"/>
    <w:rsid w:val="00400C3D"/>
    <w:rsid w:val="0040285C"/>
    <w:rsid w:val="00667DE0"/>
    <w:rsid w:val="00702DB3"/>
    <w:rsid w:val="0079631D"/>
    <w:rsid w:val="007C6A40"/>
    <w:rsid w:val="009C1A0C"/>
    <w:rsid w:val="00A078BD"/>
    <w:rsid w:val="00A138EA"/>
    <w:rsid w:val="00CE1B9F"/>
    <w:rsid w:val="00D40211"/>
    <w:rsid w:val="00D7600D"/>
    <w:rsid w:val="00DB0C60"/>
    <w:rsid w:val="00E42424"/>
    <w:rsid w:val="00E76E11"/>
    <w:rsid w:val="00E8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27253-2BF5-4265-8E85-9BAFF3BD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7963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79631D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paragraph" w:customStyle="1" w:styleId="msonormal0">
    <w:name w:val="msonorma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semiHidden/>
    <w:rsid w:val="0079631D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79631D"/>
    <w:rPr>
      <w:rFonts w:cs="Times New Roman"/>
      <w:color w:val="800080"/>
      <w:u w:val="single"/>
    </w:rPr>
  </w:style>
  <w:style w:type="paragraph" w:styleId="a5">
    <w:name w:val="Normal (Web)"/>
    <w:basedOn w:val="a"/>
    <w:semiHidden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1">
    <w:name w:val="ch6f1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2">
    <w:name w:val="ch6f2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Emphasis"/>
    <w:basedOn w:val="a0"/>
    <w:qFormat/>
    <w:rsid w:val="0079631D"/>
    <w:rPr>
      <w:rFonts w:cs="Times New Roman"/>
      <w:i/>
      <w:iCs/>
    </w:rPr>
  </w:style>
  <w:style w:type="paragraph" w:customStyle="1" w:styleId="formulaformula">
    <w:name w:val="formulaformul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eformula">
    <w:name w:val="deformul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Strong"/>
    <w:basedOn w:val="a0"/>
    <w:qFormat/>
    <w:rsid w:val="0079631D"/>
    <w:rPr>
      <w:rFonts w:cs="Times New Roman"/>
      <w:b/>
      <w:bCs/>
    </w:rPr>
  </w:style>
  <w:style w:type="paragraph" w:customStyle="1" w:styleId="ch6f0">
    <w:name w:val="ch6f0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rsid w:val="0079631D"/>
    <w:rPr>
      <w:rFonts w:cs="Times New Roman"/>
    </w:rPr>
  </w:style>
  <w:style w:type="paragraph" w:customStyle="1" w:styleId="tableshapkatabl">
    <w:name w:val="tableshapka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2">
    <w:name w:val="snoskasnoski2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primitkiprimitka">
    <w:name w:val="primitkiprimitk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-ch3">
    <w:name w:val="-ch3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d">
    <w:name w:val="ch6d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0">
    <w:name w:val="snoskasnoski0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a">
    <w:name w:val="ch6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0">
    <w:name w:val="tabl0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bigtabl">
    <w:name w:val="tableshapkabig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bigtabl">
    <w:name w:val="tablebig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55">
    <w:name w:val="55"/>
    <w:basedOn w:val="a0"/>
    <w:rsid w:val="0079631D"/>
    <w:rPr>
      <w:rFonts w:cs="Times New Roman"/>
    </w:rPr>
  </w:style>
  <w:style w:type="character" w:customStyle="1" w:styleId="word1wordrtf0">
    <w:name w:val="word1wordrtf0"/>
    <w:basedOn w:val="a0"/>
    <w:rsid w:val="0079631D"/>
    <w:rPr>
      <w:rFonts w:cs="Times New Roman"/>
    </w:rPr>
  </w:style>
  <w:style w:type="paragraph" w:customStyle="1" w:styleId="ch6f3">
    <w:name w:val="ch6f3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15">
    <w:name w:val="ch15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6">
    <w:name w:val="ch6f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primitkaprimitka">
    <w:name w:val="primitkaprimitk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8">
    <w:name w:val="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1">
    <w:name w:val="snoskasnoski1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9">
    <w:name w:val="ch39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53">
    <w:name w:val="ch53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76ch6">
    <w:name w:val="76ch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f">
    <w:name w:val="affff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">
    <w:name w:val="rvps2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">
    <w:name w:val="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79631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semiHidden/>
    <w:locked/>
    <w:rsid w:val="0079631D"/>
    <w:rPr>
      <w:rFonts w:ascii="Arial" w:hAnsi="Arial" w:cs="Arial"/>
      <w:vanish/>
      <w:sz w:val="16"/>
      <w:szCs w:val="16"/>
      <w:lang w:val="x-none" w:eastAsia="uk-UA"/>
    </w:rPr>
  </w:style>
  <w:style w:type="paragraph" w:styleId="z-1">
    <w:name w:val="HTML Bottom of Form"/>
    <w:basedOn w:val="a"/>
    <w:next w:val="a"/>
    <w:link w:val="z-2"/>
    <w:hidden/>
    <w:semiHidden/>
    <w:rsid w:val="0079631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semiHidden/>
    <w:locked/>
    <w:rsid w:val="0079631D"/>
    <w:rPr>
      <w:rFonts w:ascii="Arial" w:hAnsi="Arial" w:cs="Arial"/>
      <w:vanish/>
      <w:sz w:val="16"/>
      <w:szCs w:val="16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7043</Words>
  <Characters>4016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Георгіна Олена Анатоліївна</cp:lastModifiedBy>
  <cp:revision>2</cp:revision>
  <dcterms:created xsi:type="dcterms:W3CDTF">2021-12-06T11:12:00Z</dcterms:created>
  <dcterms:modified xsi:type="dcterms:W3CDTF">2021-12-06T11:12:00Z</dcterms:modified>
</cp:coreProperties>
</file>